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0" w:afterAutospacing="0" w:line="15" w:lineRule="atLeast"/>
        <w:jc w:val="center"/>
        <w:textAlignment w:val="auto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DOCUMENTO DE FORMALIZAÇÃO DA PESQUISA DE PREÇOS</w:t>
      </w:r>
    </w:p>
    <w:p>
      <w:pPr>
        <w:pStyle w:val="12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0" w:afterAutospacing="0" w:line="15" w:lineRule="atLeast"/>
        <w:jc w:val="center"/>
        <w:textAlignment w:val="auto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Calibri" w:hAnsi="Calibri" w:cs="Calibri"/>
          <w:sz w:val="22"/>
          <w:szCs w:val="22"/>
        </w:rPr>
        <mc:AlternateContent>
          <mc:Choice Requires="wps">
            <w:drawing>
              <wp:inline distT="45720" distB="45720" distL="114300" distR="114300">
                <wp:extent cx="6038215" cy="1111885"/>
                <wp:effectExtent l="4445" t="4445" r="15240" b="7620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111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NOTA EXPLICATIVA: Este documento deverá ser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EDITADO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(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dados do responsável pela pesquisa);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salvo em PDF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via Lepisma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e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87.55pt;width:475.45pt;" fillcolor="#FF0000" filled="t" stroked="t" coordsize="21600,21600" o:gfxdata="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7nbVPTAAAABQEAAA8AAAAAAAAAAQAgAAAAIgAAAGRycy9kb3ducmV2LnhtbFBLAQIUABQAAAAI&#10;AIdO4kCfWAS4KwIAAHsEAAAOAAAAAAAAAAEAIAAAACI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NOTA EXPLICATIVA: Este documento deverá ser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EDITADO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dados do responsável pela pesquisa);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salvo em PDF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sz w:val="22"/>
          <w:szCs w:val="22"/>
          <w:u w:val="none"/>
          <w:lang w:val="pt-BR"/>
        </w:rPr>
        <w:t>RESPONSÁVEL PELA</w:t>
      </w:r>
      <w:bookmarkStart w:id="0" w:name="_GoBack"/>
      <w:bookmarkEnd w:id="0"/>
      <w:r>
        <w:rPr>
          <w:rFonts w:hint="default" w:ascii="Calibri" w:hAnsi="Calibri" w:cs="Calibri"/>
          <w:b/>
          <w:bCs/>
          <w:sz w:val="22"/>
          <w:szCs w:val="22"/>
          <w:u w:val="none"/>
          <w:lang w:val="pt-BR"/>
        </w:rPr>
        <w:t xml:space="preserve"> PESQUISA DE PREÇOS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br w:type="textWrapping"/>
      </w:r>
      <w:r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Nome completo:</w:t>
      </w:r>
      <w:r>
        <w:rPr>
          <w:rFonts w:hint="default" w:ascii="Calibri" w:hAnsi="Calibri" w:cs="Calibri"/>
          <w:b/>
          <w:bCs/>
          <w:sz w:val="22"/>
          <w:szCs w:val="22"/>
          <w:lang w:val="pt-BR"/>
        </w:rPr>
        <w:br w:type="textWrapping"/>
      </w:r>
      <w:r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Matrícula SIAPE: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Calibri" w:hAnsi="Calibri" w:cs="Calibri"/>
          <w:b/>
          <w:b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0" w:leftChars="0" w:firstLine="0" w:firstLineChars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w:t xml:space="preserve">A Solicitação de Compra justifica </w:t>
      </w:r>
      <w:r>
        <w:rPr>
          <w:rFonts w:hint="default" w:ascii="Calibri" w:hAnsi="Calibri" w:cs="Calibri"/>
          <w:b w:val="0"/>
          <w:bCs w:val="0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a contratação do material </w:t>
      </w:r>
      <w:r>
        <w:rPr>
          <w:rFonts w:hint="default" w:ascii="Calibri" w:hAnsi="Calibri" w:cs="Calibri"/>
          <w:sz w:val="22"/>
          <w:szCs w:val="22"/>
        </w:rPr>
        <w:t xml:space="preserve">e demonstra os itens da solicitação com sua respectiva </w:t>
      </w:r>
      <w:r>
        <w:rPr>
          <w:rFonts w:hint="default" w:ascii="Calibri" w:hAnsi="Calibri"/>
          <w:sz w:val="22"/>
          <w:szCs w:val="22"/>
          <w:lang w:val="pt-BR"/>
        </w:rPr>
        <w:t>comprovação de que o</w:t>
      </w:r>
      <w:r>
        <w:rPr>
          <w:rFonts w:hint="default" w:ascii="Calibri" w:hAnsi="Calibri"/>
          <w:sz w:val="22"/>
          <w:szCs w:val="22"/>
        </w:rPr>
        <w:t xml:space="preserve"> preço ofertado à administração é condizente com o praticado pelo mercado</w:t>
      </w:r>
      <w:r>
        <w:rPr>
          <w:rFonts w:hint="default" w:ascii="Calibri" w:hAnsi="Calibri" w:cs="Calibri"/>
          <w:sz w:val="22"/>
          <w:szCs w:val="22"/>
        </w:rPr>
        <w:t xml:space="preserve">. </w:t>
      </w:r>
      <w:r>
        <w:rPr>
          <w:rFonts w:hint="default" w:ascii="Calibri" w:hAnsi="Calibri"/>
          <w:sz w:val="22"/>
          <w:szCs w:val="22"/>
        </w:rPr>
        <w:t>É inexigível a licitação quando houver inviabilidade de competição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de acordo com o art. 25 da Lei 8.666/93, de 21 de junho de 1993.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0" w:leftChars="0" w:firstLine="0" w:firstLineChars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D</w:t>
      </w:r>
      <w:r>
        <w:rPr>
          <w:rFonts w:hint="default" w:ascii="Calibri" w:hAnsi="Calibri" w:cs="Calibri"/>
          <w:sz w:val="22"/>
          <w:szCs w:val="22"/>
        </w:rPr>
        <w:t>eclar</w:t>
      </w:r>
      <w:r>
        <w:rPr>
          <w:rFonts w:hint="default" w:ascii="Calibri" w:hAnsi="Calibri" w:cs="Calibri"/>
          <w:sz w:val="22"/>
          <w:szCs w:val="22"/>
          <w:lang w:val="pt-BR"/>
        </w:rPr>
        <w:t>o</w:t>
      </w:r>
      <w:r>
        <w:rPr>
          <w:rFonts w:hint="default" w:ascii="Calibri" w:hAnsi="Calibri" w:cs="Calibri"/>
          <w:sz w:val="22"/>
          <w:szCs w:val="22"/>
        </w:rPr>
        <w:t xml:space="preserve"> que a pesquisa de </w:t>
      </w:r>
      <w:r>
        <w:rPr>
          <w:rFonts w:hint="default" w:ascii="Calibri" w:hAnsi="Calibri" w:cs="Calibri"/>
          <w:sz w:val="22"/>
          <w:szCs w:val="22"/>
          <w:lang w:val="pt-BR"/>
        </w:rPr>
        <w:t>mercado</w:t>
      </w:r>
      <w:r>
        <w:rPr>
          <w:rFonts w:hint="default" w:ascii="Calibri" w:hAnsi="Calibri" w:cs="Calibri"/>
          <w:sz w:val="22"/>
          <w:szCs w:val="22"/>
        </w:rPr>
        <w:t xml:space="preserve"> foi realizada obedecendo a</w:t>
      </w:r>
      <w:r>
        <w:rPr>
          <w:rFonts w:hint="default" w:ascii="Calibri" w:hAnsi="Calibri" w:cs="Calibri"/>
          <w:sz w:val="22"/>
          <w:szCs w:val="22"/>
          <w:lang w:val="pt-BR"/>
        </w:rPr>
        <w:t>o estabelecido na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INSTRUÇÃO NORMATIVA Nº 73, DE 5 DE AGOSTO DE 2020</w:t>
      </w:r>
      <w:r>
        <w:rPr>
          <w:rFonts w:hint="default" w:ascii="Calibri" w:hAnsi="Calibri" w:cs="Calibri"/>
          <w:sz w:val="22"/>
          <w:szCs w:val="22"/>
        </w:rPr>
        <w:t>. Portanto, para fins de orçamentação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, e por se tratar de aquisição por Inexigibilidade, </w:t>
      </w:r>
      <w:r>
        <w:rPr>
          <w:rFonts w:hint="default" w:ascii="Calibri" w:hAnsi="Calibri" w:cs="Calibri"/>
          <w:sz w:val="22"/>
          <w:szCs w:val="22"/>
        </w:rPr>
        <w:t>fo</w:t>
      </w:r>
      <w:r>
        <w:rPr>
          <w:rFonts w:hint="default" w:ascii="Calibri" w:hAnsi="Calibri" w:cs="Calibri"/>
          <w:sz w:val="22"/>
          <w:szCs w:val="22"/>
          <w:lang w:val="pt-BR"/>
        </w:rPr>
        <w:t>i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>realizado</w:t>
      </w:r>
      <w:r>
        <w:rPr>
          <w:rFonts w:hint="default" w:ascii="Calibri" w:hAnsi="Calibri" w:cs="Calibri"/>
          <w:sz w:val="22"/>
          <w:szCs w:val="22"/>
        </w:rPr>
        <w:t xml:space="preserve"> o previsto no  inciso IV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e § 2º </w:t>
      </w:r>
      <w:r>
        <w:rPr>
          <w:rFonts w:hint="default" w:ascii="Calibri" w:hAnsi="Calibri" w:cs="Calibri"/>
          <w:sz w:val="22"/>
          <w:szCs w:val="22"/>
        </w:rPr>
        <w:t xml:space="preserve">do </w:t>
      </w:r>
      <w:r>
        <w:rPr>
          <w:rFonts w:hint="default" w:ascii="Calibri" w:hAnsi="Calibri" w:cs="Calibri"/>
          <w:sz w:val="22"/>
          <w:szCs w:val="22"/>
          <w:lang w:val="pt-BR"/>
        </w:rPr>
        <w:t>a</w:t>
      </w:r>
      <w:r>
        <w:rPr>
          <w:rFonts w:hint="default" w:ascii="Calibri" w:hAnsi="Calibri" w:cs="Calibri"/>
          <w:sz w:val="22"/>
          <w:szCs w:val="22"/>
        </w:rPr>
        <w:t xml:space="preserve">rt. </w:t>
      </w:r>
      <w:r>
        <w:rPr>
          <w:rFonts w:hint="default" w:ascii="Calibri" w:hAnsi="Calibri" w:cs="Calibri"/>
          <w:sz w:val="22"/>
          <w:szCs w:val="22"/>
          <w:lang w:val="pt-BR"/>
        </w:rPr>
        <w:t>5</w:t>
      </w:r>
      <w:r>
        <w:rPr>
          <w:rFonts w:hint="default" w:ascii="Calibri" w:hAnsi="Calibri" w:cs="Calibri"/>
          <w:sz w:val="22"/>
          <w:szCs w:val="22"/>
        </w:rPr>
        <w:t>°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da referida Instrução Normativa, a saber: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/>
        </w:rPr>
      </w:pPr>
      <w:r>
        <w:rPr>
          <w:rFonts w:hint="default"/>
          <w:sz w:val="16"/>
          <w:szCs w:val="16"/>
          <w:lang w:val="pt-BR" w:eastAsia="en-US"/>
        </w:rPr>
        <w:t>“IV - pesquisa direta com fornecedores, mediante solicitação formal de cotação, desde que os orçamentos considerados estejam compreendidos no intervalo de até 6 (seis) meses de antecedência da data de divulgação do instrumento convocatório.</w:t>
      </w:r>
      <w:r>
        <w:rPr>
          <w:rFonts w:hint="default"/>
          <w:sz w:val="16"/>
          <w:szCs w:val="16"/>
          <w:lang w:val="pt-BR"/>
        </w:rPr>
        <w:br w:type="textWrapping"/>
      </w:r>
      <w:r>
        <w:rPr>
          <w:rFonts w:hint="default"/>
          <w:sz w:val="16"/>
          <w:szCs w:val="16"/>
          <w:lang w:val="pt-BR"/>
        </w:rPr>
        <w:t>(...)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§ 2º Quando a pesquisa de preços for realizada com os fornecedores, nos termos do inciso IV, deverá ser observado: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I - prazo de resposta conferido ao fornecedor compatível com a complexidade do objeto a ser licitado;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II - obtenção de propostas formais, contendo, no mínimo: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a) descrição do objeto, valor unitário e total;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b) número do Cadastro de Pessoa Física - CPF ou do Cadastro Nacional de Pessoa Jurídica - CNPJ do proponente;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c) endereço e telefone de contato; e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d) data de emissão.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2398" w:leftChars="1090" w:firstLine="0" w:firstLineChars="0"/>
        <w:jc w:val="both"/>
        <w:textAlignment w:val="auto"/>
        <w:rPr>
          <w:rFonts w:hint="default"/>
          <w:sz w:val="16"/>
          <w:szCs w:val="16"/>
          <w:lang w:val="pt-BR" w:eastAsia="en-US"/>
        </w:rPr>
      </w:pPr>
      <w:r>
        <w:rPr>
          <w:rFonts w:hint="default"/>
          <w:sz w:val="16"/>
          <w:szCs w:val="16"/>
          <w:lang w:val="pt-BR" w:eastAsia="en-US"/>
        </w:rPr>
        <w:t>III - registro, nos autos da contratação correspondente, da relação de fornecedores que foram consultados e não enviaram propostas como resposta à solicitação de que trata o inciso IV do caput.”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120"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Para fins de comprovação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do preço ofertado com o praticado no mercado, e por se tratar de aquisição por Inexigibilidade, </w:t>
      </w:r>
      <w:r>
        <w:rPr>
          <w:rFonts w:hint="default" w:ascii="Calibri" w:hAnsi="Calibri" w:cs="Calibri"/>
          <w:sz w:val="22"/>
          <w:szCs w:val="22"/>
        </w:rPr>
        <w:t>fo</w:t>
      </w:r>
      <w:r>
        <w:rPr>
          <w:rFonts w:hint="default" w:ascii="Calibri" w:hAnsi="Calibri" w:cs="Calibri"/>
          <w:sz w:val="22"/>
          <w:szCs w:val="22"/>
          <w:lang w:val="pt-BR"/>
        </w:rPr>
        <w:t>i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>realizado</w:t>
      </w:r>
      <w:r>
        <w:rPr>
          <w:rFonts w:hint="default" w:ascii="Calibri" w:hAnsi="Calibri" w:cs="Calibri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a </w:t>
      </w:r>
      <w:r>
        <w:rPr>
          <w:rFonts w:hint="default" w:ascii="Calibri" w:hAnsi="Calibri" w:cs="Calibri"/>
          <w:sz w:val="22"/>
          <w:szCs w:val="22"/>
        </w:rPr>
        <w:t>pesquisa com fornecedor</w:t>
      </w:r>
      <w:r>
        <w:rPr>
          <w:rFonts w:hint="default" w:ascii="Calibri" w:hAnsi="Calibri" w:cs="Calibri"/>
          <w:sz w:val="22"/>
          <w:szCs w:val="22"/>
          <w:lang w:val="pt-BR"/>
        </w:rPr>
        <w:t>, conforme estabelecido n</w:t>
      </w:r>
      <w:r>
        <w:rPr>
          <w:rFonts w:hint="default" w:ascii="Calibri" w:hAnsi="Calibri" w:cs="Calibri"/>
          <w:sz w:val="22"/>
          <w:szCs w:val="22"/>
        </w:rPr>
        <w:t xml:space="preserve">o </w:t>
      </w:r>
      <w:r>
        <w:rPr>
          <w:rFonts w:hint="default" w:ascii="Calibri" w:hAnsi="Calibri" w:cs="Calibri"/>
          <w:sz w:val="22"/>
          <w:szCs w:val="22"/>
          <w:lang w:val="pt-BR"/>
        </w:rPr>
        <w:t>a</w:t>
      </w:r>
      <w:r>
        <w:rPr>
          <w:rFonts w:hint="default" w:ascii="Calibri" w:hAnsi="Calibri" w:cs="Calibri"/>
          <w:sz w:val="22"/>
          <w:szCs w:val="22"/>
        </w:rPr>
        <w:t xml:space="preserve">rt. </w:t>
      </w:r>
      <w:r>
        <w:rPr>
          <w:rFonts w:hint="default" w:ascii="Calibri" w:hAnsi="Calibri" w:cs="Calibri"/>
          <w:sz w:val="22"/>
          <w:szCs w:val="22"/>
          <w:lang w:val="pt-BR"/>
        </w:rPr>
        <w:t>7</w:t>
      </w:r>
      <w:r>
        <w:rPr>
          <w:rFonts w:hint="default" w:ascii="Calibri" w:hAnsi="Calibri" w:cs="Calibri"/>
          <w:sz w:val="22"/>
          <w:szCs w:val="22"/>
        </w:rPr>
        <w:t>°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da referida Instrução Normativa, a saber: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  <w:r>
        <w:rPr>
          <w:rFonts w:hint="default" w:asciiTheme="minorAscii" w:hAnsiTheme="minorEastAsia" w:eastAsiaTheme="minorEastAsia" w:cstheme="minorEastAsia"/>
          <w:color w:val="auto"/>
          <w:sz w:val="16"/>
          <w:szCs w:val="16"/>
          <w:lang w:val="pt-BR"/>
        </w:rPr>
        <w:t>“</w:t>
      </w:r>
      <w:r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  <w:t>I - documentos fiscais ou instrumentos contratuais de objetos idênticos, comercializados pela futura contratada, emitidos no período de até 1 (um) ano anterior à data da autorização da inexigibilidade pela autoridade competente;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  <w:r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  <w:t>II - tabelas de preços vigentes divulgadas pela futura contratada em sítios eletrônicos especializados ou de domínio amplo, contendo data e hora de acesso.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  <w:r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  <w:t>§1º Poderão ser utilizados outros critérios ou métodos, desde que devidamente justificados nos autos pelo gestor responsável e aprovados pela autoridade competente.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  <w:r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  <w:t>§2º Excepcionalmente, caso a futura contratada não tenha comercializado o objeto anteriormente, a justificativa de preço de que trata o caput pode ser realizada com objetos de mesma natureza.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default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  <w:r>
        <w:rPr>
          <w:rFonts w:hint="eastAsia" w:asciiTheme="minorAscii" w:hAnsiTheme="minorEastAsia" w:eastAsiaTheme="minorEastAsia" w:cstheme="minorEastAsia"/>
          <w:color w:val="auto"/>
          <w:sz w:val="16"/>
          <w:szCs w:val="16"/>
          <w:lang w:val="pt-BR"/>
        </w:rPr>
        <w:t>§3º Caso a justificativa de preços aponte para a possibilidade de competição no mercado, vedada está a inexigibilidade.</w:t>
      </w:r>
      <w:r>
        <w:rPr>
          <w:rFonts w:hint="default" w:asciiTheme="minorAscii" w:hAnsiTheme="minorEastAsia" w:eastAsiaTheme="minorEastAsia" w:cstheme="minorEastAsia"/>
          <w:color w:val="auto"/>
          <w:sz w:val="16"/>
          <w:szCs w:val="16"/>
          <w:lang w:val="pt-BR"/>
        </w:rPr>
        <w:t>”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300" w:line="240" w:lineRule="auto"/>
        <w:ind w:left="2420" w:leftChars="1100"/>
        <w:jc w:val="both"/>
        <w:textAlignment w:val="auto"/>
        <w:rPr>
          <w:rFonts w:hint="default" w:asciiTheme="minorAscii" w:hAnsiTheme="minorEastAsia" w:eastAsiaTheme="minorEastAsia" w:cstheme="minorEastAsia"/>
          <w:color w:val="auto"/>
          <w:sz w:val="16"/>
          <w:szCs w:val="16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40" w:leftChars="2200" w:firstLine="0" w:firstLineChars="0"/>
        <w:jc w:val="both"/>
        <w:textAlignment w:val="auto"/>
        <w:rPr>
          <w:rFonts w:hint="default" w:ascii="Calibri Light" w:hAnsi="Calibri Light" w:cs="Calibri Light"/>
          <w:sz w:val="16"/>
          <w:szCs w:val="16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line="360" w:lineRule="auto"/>
        <w:ind w:left="0" w:leftChars="0"/>
        <w:jc w:val="both"/>
        <w:textAlignment w:val="auto"/>
        <w:rPr>
          <w:rFonts w:hint="default" w:ascii="Calibri Light" w:hAnsi="Calibri Light" w:cs="Calibri Light"/>
          <w:sz w:val="16"/>
          <w:szCs w:val="16"/>
          <w:lang w:val="pt-BR"/>
        </w:rPr>
      </w:pPr>
      <w:r>
        <w:rPr>
          <w:rFonts w:hint="default" w:hAnsi="Calibri Light" w:cs="Calibri Light" w:asciiTheme="minorAscii"/>
          <w:sz w:val="22"/>
          <w:szCs w:val="22"/>
          <w:lang w:val="pt-BR"/>
        </w:rPr>
        <w:t>Dessa forma, r</w:t>
      </w:r>
      <w:r>
        <w:rPr>
          <w:rFonts w:hint="default" w:hAnsi="Calibri Light" w:cs="Calibri Light" w:asciiTheme="minorAscii"/>
          <w:sz w:val="22"/>
          <w:szCs w:val="22"/>
        </w:rPr>
        <w:t>esponsabiliz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o-me</w:t>
      </w:r>
      <w:r>
        <w:rPr>
          <w:rFonts w:hint="default" w:hAnsi="Calibri Light" w:cs="Calibri Light" w:asciiTheme="minorAscii"/>
          <w:sz w:val="22"/>
          <w:szCs w:val="22"/>
        </w:rPr>
        <w:t xml:space="preserve"> pela veracidade das informações contidas na Solicitação de Compra, assim como os anexos inseridos no Portal Administrativo 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da UFES</w:t>
      </w:r>
      <w:r>
        <w:rPr>
          <w:rFonts w:hint="default" w:hAnsi="Calibri Light" w:cs="Calibri Light" w:asciiTheme="minorAscii"/>
          <w:sz w:val="22"/>
          <w:szCs w:val="22"/>
        </w:rPr>
        <w:t xml:space="preserve"> e que todo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(</w:t>
      </w:r>
      <w:r>
        <w:rPr>
          <w:rFonts w:hint="default" w:hAnsi="Calibri Light" w:cs="Calibri Light" w:asciiTheme="minorAscii"/>
          <w:sz w:val="22"/>
          <w:szCs w:val="22"/>
        </w:rPr>
        <w:t>s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)</w:t>
      </w:r>
      <w:r>
        <w:rPr>
          <w:rFonts w:hint="default" w:hAnsi="Calibri Light" w:cs="Calibri Light" w:asciiTheme="minorAscii"/>
          <w:sz w:val="22"/>
          <w:szCs w:val="22"/>
        </w:rPr>
        <w:t xml:space="preserve"> o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(</w:t>
      </w:r>
      <w:r>
        <w:rPr>
          <w:rFonts w:hint="default" w:hAnsi="Calibri Light" w:cs="Calibri Light" w:asciiTheme="minorAscii"/>
          <w:sz w:val="22"/>
          <w:szCs w:val="22"/>
        </w:rPr>
        <w:t>s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)</w:t>
      </w:r>
      <w:r>
        <w:rPr>
          <w:rFonts w:hint="default" w:hAnsi="Calibri Light" w:cs="Calibri Light" w:asciiTheme="minorAscii"/>
          <w:sz w:val="22"/>
          <w:szCs w:val="22"/>
        </w:rPr>
        <w:t xml:space="preserve"> preço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(</w:t>
      </w:r>
      <w:r>
        <w:rPr>
          <w:rFonts w:hint="default" w:hAnsi="Calibri Light" w:cs="Calibri Light" w:asciiTheme="minorAscii"/>
          <w:sz w:val="22"/>
          <w:szCs w:val="22"/>
        </w:rPr>
        <w:t>s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)</w:t>
      </w:r>
      <w:r>
        <w:rPr>
          <w:rFonts w:hint="default" w:hAnsi="Calibri Light" w:cs="Calibri Light" w:asciiTheme="minorAscii"/>
          <w:sz w:val="22"/>
          <w:szCs w:val="22"/>
        </w:rPr>
        <w:t xml:space="preserve"> informado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(</w:t>
      </w:r>
      <w:r>
        <w:rPr>
          <w:rFonts w:hint="default" w:hAnsi="Calibri Light" w:cs="Calibri Light" w:asciiTheme="minorAscii"/>
          <w:sz w:val="22"/>
          <w:szCs w:val="22"/>
        </w:rPr>
        <w:t>s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)</w:t>
      </w:r>
      <w:r>
        <w:rPr>
          <w:rFonts w:hint="default" w:hAnsi="Calibri Light" w:cs="Calibri Light" w:asciiTheme="minorAscii"/>
          <w:sz w:val="22"/>
          <w:szCs w:val="22"/>
        </w:rPr>
        <w:t xml:space="preserve"> reflete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m</w:t>
      </w:r>
      <w:r>
        <w:rPr>
          <w:rFonts w:hint="default" w:hAnsi="Calibri Light" w:cs="Calibri Light" w:asciiTheme="minorAscii"/>
          <w:sz w:val="22"/>
          <w:szCs w:val="22"/>
        </w:rPr>
        <w:t xml:space="preserve"> o valor de mercado e atendem à descrição e às especificidades necessárias ao materia</w:t>
      </w:r>
      <w:r>
        <w:rPr>
          <w:rFonts w:hint="default" w:hAnsi="Calibri Light" w:cs="Calibri Light" w:asciiTheme="minorAscii"/>
          <w:sz w:val="22"/>
          <w:szCs w:val="22"/>
          <w:lang w:val="pt-BR"/>
        </w:rPr>
        <w:t>l a ser contratado/ adquirido</w:t>
      </w:r>
      <w:r>
        <w:rPr>
          <w:rFonts w:hint="default" w:hAnsi="Calibri Light" w:cs="Calibri Light" w:asciiTheme="minorAscii"/>
          <w:sz w:val="16"/>
          <w:szCs w:val="16"/>
          <w:lang w:val="pt-BR"/>
        </w:rPr>
        <w:t>.</w:t>
      </w: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pStyle w:val="20"/>
        <w:keepNext/>
        <w:keepLines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mc:AlternateContent>
          <mc:Choice Requires="wps">
            <w:drawing>
              <wp:inline distT="45720" distB="45720" distL="114300" distR="114300">
                <wp:extent cx="6038215" cy="799465"/>
                <wp:effectExtent l="4445" t="4445" r="15240" b="15240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799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NOTA EXPLICATIVA: Este documento deverá ser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via Lepisma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e </w:t>
                            </w: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Theme="majorHAnsi" w:hAnsiTheme="majorHAnsi" w:cstheme="majorHAnsi"/>
                                <w:b/>
                                <w:bCs/>
                                <w:color w:val="FFFFFF" w:themeColor="background1"/>
                                <w:lang w:val="pt-B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62.95pt;width:475.45pt;" fillcolor="#FF0000" filled="t" stroked="t" coordsize="21600,21600" o:gfxdata="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n3v19MAAAAFAQAADwAAAAAAAAABACAAAAAiAAAAZHJzL2Rvd25yZXYueG1sUEsBAhQAFAAA&#10;AAgAh07iQNyT5L0tAgAAegQAAA4AAAAAAAAAAQAgAAAAI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NOTA EXPLICATIVA: Este documento deverá ser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3534" w:right="1134" w:bottom="1118" w:left="1134" w:header="1134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39.25pt;margin-top:-42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cLEMLY&#10;AAAACwEAAA8AAAAAAAAAAQAgAAAAIgAAAGRycy9kb3ducmV2LnhtbFBLAQIUABQAAAAIAIdO4kAG&#10;WhkdIAIAAFoEAAAOAAAAAAAAAAEAIAAAACc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</w:rPr>
    </w:pP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>
    <w:pPr>
      <w:spacing w:after="0" w:line="240" w:lineRule="auto"/>
      <w:jc w:val="center"/>
      <w:rPr>
        <w:rFonts w:ascii="Calibri Light" w:hAnsi="Calibri Light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A"/>
    <w:rsid w:val="000F5D7E"/>
    <w:rsid w:val="001F1816"/>
    <w:rsid w:val="00222CA4"/>
    <w:rsid w:val="00295C1F"/>
    <w:rsid w:val="003E3295"/>
    <w:rsid w:val="004C3FFD"/>
    <w:rsid w:val="0065035D"/>
    <w:rsid w:val="006A70ED"/>
    <w:rsid w:val="006B5AD6"/>
    <w:rsid w:val="006C46AD"/>
    <w:rsid w:val="006C6526"/>
    <w:rsid w:val="007823E4"/>
    <w:rsid w:val="007E4891"/>
    <w:rsid w:val="007E78EA"/>
    <w:rsid w:val="00823977"/>
    <w:rsid w:val="008C1C0F"/>
    <w:rsid w:val="008D67F7"/>
    <w:rsid w:val="00913742"/>
    <w:rsid w:val="00AE09DA"/>
    <w:rsid w:val="00B22B93"/>
    <w:rsid w:val="00B25EBC"/>
    <w:rsid w:val="00BA06CB"/>
    <w:rsid w:val="00BC6E08"/>
    <w:rsid w:val="00C30BAF"/>
    <w:rsid w:val="00D0526F"/>
    <w:rsid w:val="00E35854"/>
    <w:rsid w:val="00E921B8"/>
    <w:rsid w:val="00EC2069"/>
    <w:rsid w:val="01191788"/>
    <w:rsid w:val="01DF72C8"/>
    <w:rsid w:val="02025BE2"/>
    <w:rsid w:val="02C27CBF"/>
    <w:rsid w:val="02F17FA0"/>
    <w:rsid w:val="03F746BF"/>
    <w:rsid w:val="0416365D"/>
    <w:rsid w:val="06DE424C"/>
    <w:rsid w:val="071D6BFB"/>
    <w:rsid w:val="074F0B8F"/>
    <w:rsid w:val="086F1204"/>
    <w:rsid w:val="0B1D7F40"/>
    <w:rsid w:val="0B4249D9"/>
    <w:rsid w:val="0B5E4327"/>
    <w:rsid w:val="0B9B6462"/>
    <w:rsid w:val="0CA3269D"/>
    <w:rsid w:val="0CD23DEF"/>
    <w:rsid w:val="0E3F04CE"/>
    <w:rsid w:val="0FA11065"/>
    <w:rsid w:val="0FB12407"/>
    <w:rsid w:val="101A4CC0"/>
    <w:rsid w:val="11851290"/>
    <w:rsid w:val="14A554F8"/>
    <w:rsid w:val="154C67F1"/>
    <w:rsid w:val="15AF29BA"/>
    <w:rsid w:val="15E64296"/>
    <w:rsid w:val="16054DB6"/>
    <w:rsid w:val="16835256"/>
    <w:rsid w:val="16F0588F"/>
    <w:rsid w:val="186C0098"/>
    <w:rsid w:val="19367A77"/>
    <w:rsid w:val="1AC76B45"/>
    <w:rsid w:val="1BCF0769"/>
    <w:rsid w:val="1C250B1C"/>
    <w:rsid w:val="1C7554C2"/>
    <w:rsid w:val="1DED6826"/>
    <w:rsid w:val="20020462"/>
    <w:rsid w:val="20284E02"/>
    <w:rsid w:val="206F02E5"/>
    <w:rsid w:val="207436EE"/>
    <w:rsid w:val="22183949"/>
    <w:rsid w:val="22B23450"/>
    <w:rsid w:val="236E2C2F"/>
    <w:rsid w:val="24410FD3"/>
    <w:rsid w:val="24A51E96"/>
    <w:rsid w:val="250B6FBB"/>
    <w:rsid w:val="252B22A4"/>
    <w:rsid w:val="25896DA4"/>
    <w:rsid w:val="26476A37"/>
    <w:rsid w:val="27330A3E"/>
    <w:rsid w:val="273727FA"/>
    <w:rsid w:val="27D27ACB"/>
    <w:rsid w:val="280026E7"/>
    <w:rsid w:val="28343DC7"/>
    <w:rsid w:val="29141748"/>
    <w:rsid w:val="2ADA51F4"/>
    <w:rsid w:val="2B234F7C"/>
    <w:rsid w:val="2B536B8C"/>
    <w:rsid w:val="2BFF024B"/>
    <w:rsid w:val="2C862430"/>
    <w:rsid w:val="2CD06396"/>
    <w:rsid w:val="2DE13CD1"/>
    <w:rsid w:val="2E1B1C62"/>
    <w:rsid w:val="2F776173"/>
    <w:rsid w:val="30B60ACC"/>
    <w:rsid w:val="31C85C48"/>
    <w:rsid w:val="330269F8"/>
    <w:rsid w:val="33FB648C"/>
    <w:rsid w:val="36964D1D"/>
    <w:rsid w:val="386E3F8F"/>
    <w:rsid w:val="395C415E"/>
    <w:rsid w:val="3B770E4B"/>
    <w:rsid w:val="3EE550C3"/>
    <w:rsid w:val="40EC6E0A"/>
    <w:rsid w:val="43BD37E2"/>
    <w:rsid w:val="43C07C25"/>
    <w:rsid w:val="44001DC9"/>
    <w:rsid w:val="459E0302"/>
    <w:rsid w:val="48965AF1"/>
    <w:rsid w:val="48A44CE7"/>
    <w:rsid w:val="48C86073"/>
    <w:rsid w:val="4A250949"/>
    <w:rsid w:val="4AB360BE"/>
    <w:rsid w:val="4AC44AAF"/>
    <w:rsid w:val="4AFD31A8"/>
    <w:rsid w:val="4BA10E1C"/>
    <w:rsid w:val="4C2207C5"/>
    <w:rsid w:val="4D07578B"/>
    <w:rsid w:val="4D1B3395"/>
    <w:rsid w:val="4F6B11C2"/>
    <w:rsid w:val="51F14C12"/>
    <w:rsid w:val="52B618CF"/>
    <w:rsid w:val="52D52181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9A30C8"/>
    <w:rsid w:val="5EE35C83"/>
    <w:rsid w:val="5F9760F7"/>
    <w:rsid w:val="5FB52CE7"/>
    <w:rsid w:val="604C0F73"/>
    <w:rsid w:val="611F027B"/>
    <w:rsid w:val="615B58E2"/>
    <w:rsid w:val="618D1825"/>
    <w:rsid w:val="61D73619"/>
    <w:rsid w:val="63752A61"/>
    <w:rsid w:val="64462175"/>
    <w:rsid w:val="65E35215"/>
    <w:rsid w:val="65F81970"/>
    <w:rsid w:val="670B3BCF"/>
    <w:rsid w:val="698F4729"/>
    <w:rsid w:val="6BEE1735"/>
    <w:rsid w:val="6D1F7646"/>
    <w:rsid w:val="6E016769"/>
    <w:rsid w:val="6E7826F9"/>
    <w:rsid w:val="6F086FFA"/>
    <w:rsid w:val="6F7D665A"/>
    <w:rsid w:val="71DF7607"/>
    <w:rsid w:val="721D03C1"/>
    <w:rsid w:val="73681716"/>
    <w:rsid w:val="7479702C"/>
    <w:rsid w:val="7746138D"/>
    <w:rsid w:val="77DE66C3"/>
    <w:rsid w:val="77FA239A"/>
    <w:rsid w:val="78F003E7"/>
    <w:rsid w:val="79F47AD1"/>
    <w:rsid w:val="7A073729"/>
    <w:rsid w:val="7A42354D"/>
    <w:rsid w:val="7AED4427"/>
    <w:rsid w:val="7B321443"/>
    <w:rsid w:val="7C406F6C"/>
    <w:rsid w:val="7DEF4C7A"/>
    <w:rsid w:val="7E9A52D2"/>
    <w:rsid w:val="7F1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7">
    <w:name w:val="Emphasis"/>
    <w:basedOn w:val="3"/>
    <w:qFormat/>
    <w:uiPriority w:val="0"/>
    <w:rPr>
      <w:i/>
      <w:iCs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0">
    <w:name w:val="Hyperlink"/>
    <w:basedOn w:val="3"/>
    <w:unhideWhenUsed/>
    <w:qFormat/>
    <w:uiPriority w:val="99"/>
    <w:rPr>
      <w:color w:val="0000FF"/>
      <w:u w:val="single"/>
    </w:rPr>
  </w:style>
  <w:style w:type="paragraph" w:styleId="11">
    <w:name w:val="List"/>
    <w:basedOn w:val="5"/>
    <w:qFormat/>
    <w:uiPriority w:val="0"/>
    <w:rPr>
      <w:rFonts w:cs="Lucida Sans"/>
    </w:rPr>
  </w:style>
  <w:style w:type="paragraph" w:styleId="1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Calibri" w:hAnsi="Calibri" w:eastAsia="Calibri" w:cs="Times New Roman"/>
      <w:kern w:val="0"/>
      <w:szCs w:val="24"/>
      <w:lang w:val="en-US" w:eastAsia="zh-CN" w:bidi="ar"/>
    </w:rPr>
  </w:style>
  <w:style w:type="character" w:styleId="13">
    <w:name w:val="Strong"/>
    <w:basedOn w:val="3"/>
    <w:qFormat/>
    <w:uiPriority w:val="22"/>
    <w:rPr>
      <w:b/>
      <w:bCs/>
    </w:rPr>
  </w:style>
  <w:style w:type="table" w:styleId="14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Header Char"/>
    <w:basedOn w:val="3"/>
    <w:link w:val="9"/>
    <w:qFormat/>
    <w:uiPriority w:val="99"/>
  </w:style>
  <w:style w:type="character" w:customStyle="1" w:styleId="16">
    <w:name w:val="Footer Char"/>
    <w:basedOn w:val="3"/>
    <w:link w:val="8"/>
    <w:qFormat/>
    <w:uiPriority w:val="99"/>
  </w:style>
  <w:style w:type="paragraph" w:customStyle="1" w:styleId="1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Numeração"/>
    <w:basedOn w:val="2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22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7C0C7-3B19-4722-9F38-0F7834DDA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1910</Characters>
  <Lines>15</Lines>
  <Paragraphs>4</Paragraphs>
  <TotalTime>33</TotalTime>
  <ScaleCrop>false</ScaleCrop>
  <LinksUpToDate>false</LinksUpToDate>
  <CharactersWithSpaces>2240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2020-05-22T15:44:00Z</dcterms:created>
  <dc:creator>Thiago Mothe Guimaraes</dc:creator>
  <cp:lastModifiedBy>Nayara</cp:lastModifiedBy>
  <dcterms:modified xsi:type="dcterms:W3CDTF">2021-02-23T23:18:15Z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1033-11.2.0.9984</vt:lpwstr>
  </property>
</Properties>
</file>