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6E" w:rsidRDefault="004C4902">
      <w:pPr>
        <w:pStyle w:val="NormalWeb"/>
        <w:keepNext/>
        <w:keepLines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</w:rPr>
      </w:pPr>
      <w:r>
        <w:rPr>
          <w:rFonts w:cs="Calibri"/>
          <w:b/>
          <w:color w:val="000000"/>
          <w:sz w:val="24"/>
        </w:rPr>
        <w:t>DOCUMENTO DE FORMALIZAÇÃO DA PESQUISA DE PREÇOS</w:t>
      </w:r>
    </w:p>
    <w:p w:rsidR="002C0C6E" w:rsidRDefault="004C4902">
      <w:pPr>
        <w:pStyle w:val="NormalWeb"/>
        <w:keepNext/>
        <w:keepLines/>
        <w:spacing w:beforeAutospacing="0" w:after="600" w:afterAutospacing="0" w:line="15" w:lineRule="atLeast"/>
        <w:jc w:val="center"/>
        <w:rPr>
          <w:rFonts w:cs="Calibri"/>
          <w:b/>
          <w:color w:val="000000"/>
          <w:sz w:val="24"/>
        </w:rPr>
      </w:pPr>
      <w:r>
        <w:rPr>
          <w:rFonts w:cs="Calibri"/>
          <w:noProof/>
          <w:sz w:val="22"/>
          <w:szCs w:val="22"/>
          <w:lang w:val="pt-BR" w:eastAsia="pt-BR"/>
        </w:rPr>
        <mc:AlternateContent>
          <mc:Choice Requires="wps">
            <w:drawing>
              <wp:inline distT="45720" distB="45720" distL="114300" distR="114300">
                <wp:extent cx="6038215" cy="1111885"/>
                <wp:effectExtent l="4445" t="4445" r="15240" b="76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1118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C0C6E" w:rsidRDefault="004C4902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NOTA EXPLICATIVA: Este documento deverá ser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EDITADO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número da solicitação de compra e dados do responsável pela pesquisa);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salvo em PDF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;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, pelo RESPONSÁVEL PELA PESQUISA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2C0C6E" w:rsidRDefault="004C4902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height:87.55pt;width:475.45pt;" fillcolor="#FF0000" filled="t" stroked="t" coordsize="21600,21600" o:gfxdata="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udtU9MAAAAFAQAADwAAAAAAAAABACAAAAAi&#10;AAAAZHJzL2Rvd25yZXYueG1sUEsBAhQAFAAAAAgAh07iQLSzwZwPAgAALQQAAA4AAAAAAAAAAQAg&#10;AAAAIg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NOTA EXPLICATIVA: Este documento deverá ser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EDITADO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número da solicitação de compra e dados do responsável pela pesquisa);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salvo em PDF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;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2C0C6E" w:rsidRDefault="004C4902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RESPONSÁVEL PELA </w:t>
      </w:r>
      <w:proofErr w:type="spellStart"/>
      <w:r>
        <w:rPr>
          <w:rFonts w:ascii="Calibri" w:hAnsi="Calibri" w:cs="Calibri"/>
          <w:b/>
          <w:bCs/>
        </w:rPr>
        <w:t>PELA</w:t>
      </w:r>
      <w:proofErr w:type="spellEnd"/>
      <w:r>
        <w:rPr>
          <w:rFonts w:ascii="Calibri" w:hAnsi="Calibri" w:cs="Calibri"/>
          <w:b/>
          <w:bCs/>
        </w:rPr>
        <w:t xml:space="preserve"> PESQUISA DE PREÇOS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Nome completo: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  <w:color w:val="000000" w:themeColor="text1"/>
        </w:rPr>
        <w:t>Matrícula SIAPE:</w:t>
      </w:r>
    </w:p>
    <w:p w:rsidR="002C0C6E" w:rsidRDefault="002C0C6E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  <w:b/>
          <w:bCs/>
          <w:color w:val="000000" w:themeColor="text1"/>
        </w:rPr>
      </w:pPr>
    </w:p>
    <w:p w:rsidR="002C0C6E" w:rsidRDefault="004C4902">
      <w:pPr>
        <w:pStyle w:val="PargrafodaLista"/>
        <w:keepNext/>
        <w:keepLines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Solicitação de Compra justifica </w:t>
      </w:r>
      <w:r>
        <w:rPr>
          <w:rFonts w:ascii="Calibri" w:hAnsi="Calibri" w:cs="Calibri"/>
          <w:color w:val="000000" w:themeColor="text1"/>
        </w:rPr>
        <w:t xml:space="preserve">a contratação do material </w:t>
      </w:r>
      <w:r>
        <w:rPr>
          <w:rFonts w:ascii="Calibri" w:hAnsi="Calibri" w:cs="Calibri"/>
        </w:rPr>
        <w:t xml:space="preserve">e demonstra os itens da solicitação com sua respectiva </w:t>
      </w:r>
      <w:r>
        <w:rPr>
          <w:rFonts w:ascii="Calibri" w:hAnsi="Calibri"/>
        </w:rPr>
        <w:t>comprovação de que o</w:t>
      </w:r>
      <w:r>
        <w:rPr>
          <w:rFonts w:ascii="Calibri" w:hAnsi="Calibri"/>
        </w:rPr>
        <w:t xml:space="preserve"> preço ofertado à administração é condizente com o praticado pelo mercado</w:t>
      </w:r>
      <w:r>
        <w:rPr>
          <w:rFonts w:ascii="Calibri" w:hAnsi="Calibri" w:cs="Calibri"/>
        </w:rPr>
        <w:t xml:space="preserve">. </w:t>
      </w:r>
      <w:r>
        <w:rPr>
          <w:rFonts w:ascii="Calibri" w:hAnsi="Calibri"/>
        </w:rPr>
        <w:t>É inexigível a licitação quando houver inviabilidade de competição</w:t>
      </w:r>
      <w:r>
        <w:rPr>
          <w:rFonts w:ascii="Calibri" w:hAnsi="Calibri" w:cs="Calibri"/>
        </w:rPr>
        <w:t xml:space="preserve"> de acordo com</w:t>
      </w:r>
      <w:r>
        <w:rPr>
          <w:rFonts w:ascii="Calibri" w:hAnsi="Calibri" w:cs="Calibri"/>
        </w:rPr>
        <w:t xml:space="preserve"> o art. 25 da Lei 8.666/93, de 21 de junho de 1993.</w:t>
      </w:r>
    </w:p>
    <w:p w:rsidR="002C0C6E" w:rsidRDefault="002C0C6E">
      <w:pPr>
        <w:pStyle w:val="PargrafodaLista"/>
        <w:keepNext/>
        <w:keepLines/>
        <w:tabs>
          <w:tab w:val="left" w:pos="567"/>
        </w:tabs>
        <w:spacing w:after="200" w:line="360" w:lineRule="auto"/>
        <w:ind w:left="0"/>
        <w:jc w:val="both"/>
        <w:rPr>
          <w:rFonts w:ascii="Calibri" w:hAnsi="Calibri" w:cs="Calibri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eclar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que a pesquisa de </w:t>
      </w:r>
      <w:r>
        <w:rPr>
          <w:rFonts w:ascii="Calibri" w:hAnsi="Calibri" w:cs="Calibri"/>
        </w:rPr>
        <w:t>mercado</w:t>
      </w:r>
      <w:r>
        <w:rPr>
          <w:rFonts w:ascii="Calibri" w:hAnsi="Calibri" w:cs="Calibri"/>
        </w:rPr>
        <w:t xml:space="preserve"> foi realizada obedecendo a</w:t>
      </w:r>
      <w:r>
        <w:rPr>
          <w:rFonts w:ascii="Calibri" w:hAnsi="Calibri" w:cs="Calibri"/>
        </w:rPr>
        <w:t>o estabelecido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INSTRUÇÃO NORMATIVA Nº 73, DE 5 DE AGOSTO DE 2020</w:t>
      </w:r>
      <w:r>
        <w:rPr>
          <w:rFonts w:ascii="Calibri" w:hAnsi="Calibri" w:cs="Calibri"/>
        </w:rPr>
        <w:t>. Portanto, para fins de orçamentação</w:t>
      </w:r>
      <w:r>
        <w:rPr>
          <w:rFonts w:ascii="Calibri" w:hAnsi="Calibri" w:cs="Calibri"/>
        </w:rPr>
        <w:t>, e por se tratar de aquisição por Inex</w:t>
      </w:r>
      <w:r>
        <w:rPr>
          <w:rFonts w:ascii="Calibri" w:hAnsi="Calibri" w:cs="Calibri"/>
        </w:rPr>
        <w:t xml:space="preserve">igibilidade,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realizado</w:t>
      </w:r>
      <w:r>
        <w:rPr>
          <w:rFonts w:ascii="Calibri" w:hAnsi="Calibri" w:cs="Calibri"/>
        </w:rPr>
        <w:t xml:space="preserve"> o previsto no  inciso IV</w:t>
      </w:r>
      <w:r>
        <w:rPr>
          <w:rFonts w:ascii="Calibri" w:hAnsi="Calibri" w:cs="Calibri"/>
        </w:rPr>
        <w:t xml:space="preserve"> e § 2º </w:t>
      </w:r>
      <w:r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>°</w:t>
      </w:r>
      <w:r>
        <w:rPr>
          <w:rFonts w:ascii="Calibri" w:hAnsi="Calibri" w:cs="Calibri"/>
        </w:rPr>
        <w:t xml:space="preserve"> da referida Instrução Normativa, a saber: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“IV - pesquisa direta com fornecedores, mediante solicitação formal de cotação, desde que os orçamentos considerados estejam compreendidos no </w:t>
      </w:r>
      <w:r>
        <w:rPr>
          <w:sz w:val="16"/>
          <w:szCs w:val="16"/>
        </w:rPr>
        <w:t>intervalo de até 6 (seis) meses de antecedência da data de divulgação do instrumento convocatório.</w:t>
      </w:r>
      <w:r>
        <w:rPr>
          <w:sz w:val="16"/>
          <w:szCs w:val="16"/>
        </w:rPr>
        <w:br/>
        <w:t>(...)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§ 2º Quando a pesquisa de preços for realizada com os fornecedores, nos termos do inciso IV, deverá ser observado: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 - prazo de resposta conferido ao f</w:t>
      </w:r>
      <w:r>
        <w:rPr>
          <w:sz w:val="16"/>
          <w:szCs w:val="16"/>
        </w:rPr>
        <w:t>ornecedor compatível com a complexidade do objeto a ser licitado;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II - obtenção de propostas formais, contendo, no mínimo: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a) descrição do objeto, valor unitário e total;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número do Cadastro de Pessoa Física - CPF ou do Cadastro Nacional de Pessoa </w:t>
      </w:r>
      <w:r>
        <w:rPr>
          <w:sz w:val="16"/>
          <w:szCs w:val="16"/>
        </w:rPr>
        <w:t>Jurídica - CNPJ do proponente;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c) endereço e telefone de contato; e</w:t>
      </w:r>
    </w:p>
    <w:p w:rsidR="002C0C6E" w:rsidRDefault="004C4902">
      <w:pPr>
        <w:keepNext/>
        <w:keepLines/>
        <w:spacing w:after="10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d) data de emissão.</w:t>
      </w:r>
    </w:p>
    <w:p w:rsidR="002C0C6E" w:rsidRDefault="004C4902">
      <w:pPr>
        <w:keepNext/>
        <w:keepLines/>
        <w:spacing w:after="0" w:line="260" w:lineRule="auto"/>
        <w:ind w:leftChars="1090" w:left="2398"/>
        <w:jc w:val="both"/>
        <w:rPr>
          <w:sz w:val="16"/>
          <w:szCs w:val="16"/>
        </w:rPr>
      </w:pPr>
      <w:r>
        <w:rPr>
          <w:sz w:val="16"/>
          <w:szCs w:val="16"/>
        </w:rPr>
        <w:t>III - registro, nos autos da contratação correspondente, da relação de fornecedores que foram consultados e não enviaram propostas como resposta à solicitação de que tr</w:t>
      </w:r>
      <w:r>
        <w:rPr>
          <w:sz w:val="16"/>
          <w:szCs w:val="16"/>
        </w:rPr>
        <w:t>ata o inciso IV do caput.”</w:t>
      </w: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150" w:before="360" w:after="12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fins de comprovação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preço ofertado com o praticado no mercado, e por se tratar de aquisição por Inexigibilidade, </w:t>
      </w:r>
      <w:r>
        <w:rPr>
          <w:rFonts w:ascii="Calibri" w:hAnsi="Calibri" w:cs="Calibri"/>
        </w:rPr>
        <w:t>fo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realizado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pesquisa com fornecedor</w:t>
      </w:r>
      <w:r>
        <w:rPr>
          <w:rFonts w:ascii="Calibri" w:hAnsi="Calibri" w:cs="Calibri"/>
        </w:rPr>
        <w:t>, conforme estabelecido n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rt.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°</w:t>
      </w:r>
      <w:r>
        <w:rPr>
          <w:rFonts w:ascii="Calibri" w:hAnsi="Calibri" w:cs="Calibri"/>
        </w:rPr>
        <w:t xml:space="preserve"> da referida Instrução Normativa, a</w:t>
      </w:r>
      <w:r>
        <w:rPr>
          <w:rFonts w:ascii="Calibri" w:hAnsi="Calibri" w:cs="Calibri"/>
        </w:rPr>
        <w:t xml:space="preserve"> saber: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360" w:lineRule="auto"/>
        <w:ind w:left="0"/>
        <w:jc w:val="both"/>
        <w:rPr>
          <w:rFonts w:ascii="Calibri" w:hAnsi="Calibri" w:cs="Calibri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/>
          <w:sz w:val="16"/>
          <w:szCs w:val="16"/>
        </w:rPr>
        <w:t>“</w:t>
      </w:r>
      <w:r>
        <w:rPr>
          <w:rFonts w:eastAsiaTheme="minorEastAsia" w:hAnsiTheme="minorEastAsia" w:cstheme="minorEastAsia" w:hint="eastAsia"/>
          <w:sz w:val="16"/>
          <w:szCs w:val="16"/>
        </w:rPr>
        <w:t>I - documentos fiscais ou instrumentos contratuais de objetos id</w:t>
      </w:r>
      <w:r>
        <w:rPr>
          <w:rFonts w:eastAsiaTheme="minorEastAsia" w:hAnsiTheme="minorEastAsia" w:cstheme="minorEastAsia" w:hint="eastAsia"/>
          <w:sz w:val="16"/>
          <w:szCs w:val="16"/>
        </w:rPr>
        <w:t>ê</w:t>
      </w:r>
      <w:r>
        <w:rPr>
          <w:rFonts w:eastAsiaTheme="minorEastAsia" w:hAnsiTheme="minorEastAsia" w:cstheme="minorEastAsia" w:hint="eastAsia"/>
          <w:sz w:val="16"/>
          <w:szCs w:val="16"/>
        </w:rPr>
        <w:t>nticos, comercializados pela futura contratada, emitidos no per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odo de at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1 (um) ano anterior </w:t>
      </w:r>
      <w:r>
        <w:rPr>
          <w:rFonts w:eastAsiaTheme="minorEastAsia" w:hAnsiTheme="minorEastAsia" w:cstheme="minorEastAsia" w:hint="eastAsia"/>
          <w:sz w:val="16"/>
          <w:szCs w:val="16"/>
        </w:rPr>
        <w:t>à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data da autoriza</w:t>
      </w:r>
      <w:r>
        <w:rPr>
          <w:rFonts w:eastAsiaTheme="minorEastAsia" w:hAnsiTheme="minorEastAsia" w:cstheme="minorEastAsia" w:hint="eastAsia"/>
          <w:sz w:val="16"/>
          <w:szCs w:val="16"/>
        </w:rPr>
        <w:t>çã</w:t>
      </w:r>
      <w:r>
        <w:rPr>
          <w:rFonts w:eastAsiaTheme="minorEastAsia" w:hAnsiTheme="minorEastAsia" w:cstheme="minorEastAsia" w:hint="eastAsia"/>
          <w:sz w:val="16"/>
          <w:szCs w:val="16"/>
        </w:rPr>
        <w:t>o da inexigibilidade pela autoridade competente;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 xml:space="preserve">II - tabelas de </w:t>
      </w:r>
      <w:r>
        <w:rPr>
          <w:rFonts w:eastAsiaTheme="minorEastAsia" w:hAnsiTheme="minorEastAsia" w:cstheme="minorEastAsia" w:hint="eastAsia"/>
          <w:sz w:val="16"/>
          <w:szCs w:val="16"/>
        </w:rPr>
        <w:t>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os vigentes divulgadas pela futura contratada em s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tios eletr</w:t>
      </w:r>
      <w:r>
        <w:rPr>
          <w:rFonts w:eastAsiaTheme="minorEastAsia" w:hAnsiTheme="minorEastAsia" w:cstheme="minorEastAsia" w:hint="eastAsia"/>
          <w:sz w:val="16"/>
          <w:szCs w:val="16"/>
        </w:rPr>
        <w:t>ô</w:t>
      </w:r>
      <w:r>
        <w:rPr>
          <w:rFonts w:eastAsiaTheme="minorEastAsia" w:hAnsiTheme="minorEastAsia" w:cstheme="minorEastAsia" w:hint="eastAsia"/>
          <w:sz w:val="16"/>
          <w:szCs w:val="16"/>
        </w:rPr>
        <w:t>nicos especializados ou de dom</w:t>
      </w:r>
      <w:r>
        <w:rPr>
          <w:rFonts w:eastAsiaTheme="minorEastAsia" w:hAnsiTheme="minorEastAsia" w:cstheme="minorEastAsia" w:hint="eastAsia"/>
          <w:sz w:val="16"/>
          <w:szCs w:val="16"/>
        </w:rPr>
        <w:t>í</w:t>
      </w:r>
      <w:r>
        <w:rPr>
          <w:rFonts w:eastAsiaTheme="minorEastAsia" w:hAnsiTheme="minorEastAsia" w:cstheme="minorEastAsia" w:hint="eastAsia"/>
          <w:sz w:val="16"/>
          <w:szCs w:val="16"/>
        </w:rPr>
        <w:t>nio amplo, contendo data e hora de acesso.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1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Poder</w:t>
      </w:r>
      <w:r>
        <w:rPr>
          <w:rFonts w:eastAsiaTheme="minorEastAsia" w:hAnsiTheme="minorEastAsia" w:cstheme="minorEastAsia" w:hint="eastAsia"/>
          <w:sz w:val="16"/>
          <w:szCs w:val="16"/>
        </w:rPr>
        <w:t>ã</w:t>
      </w:r>
      <w:r>
        <w:rPr>
          <w:rFonts w:eastAsiaTheme="minorEastAsia" w:hAnsiTheme="minorEastAsia" w:cstheme="minorEastAsia" w:hint="eastAsia"/>
          <w:sz w:val="16"/>
          <w:szCs w:val="16"/>
        </w:rPr>
        <w:t>o ser utilizados outros crit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>rios ou m</w:t>
      </w:r>
      <w:r>
        <w:rPr>
          <w:rFonts w:eastAsiaTheme="minorEastAsia" w:hAnsiTheme="minorEastAsia" w:cstheme="minorEastAsia" w:hint="eastAsia"/>
          <w:sz w:val="16"/>
          <w:szCs w:val="16"/>
        </w:rPr>
        <w:t>é</w:t>
      </w:r>
      <w:r>
        <w:rPr>
          <w:rFonts w:eastAsiaTheme="minorEastAsia" w:hAnsiTheme="minorEastAsia" w:cstheme="minorEastAsia" w:hint="eastAsia"/>
          <w:sz w:val="16"/>
          <w:szCs w:val="16"/>
        </w:rPr>
        <w:t>todos, desde que devidamente justificados nos autos pelo gestor re</w:t>
      </w:r>
      <w:r>
        <w:rPr>
          <w:rFonts w:eastAsiaTheme="minorEastAsia" w:hAnsiTheme="minorEastAsia" w:cstheme="minorEastAsia" w:hint="eastAsia"/>
          <w:sz w:val="16"/>
          <w:szCs w:val="16"/>
        </w:rPr>
        <w:t>spons</w:t>
      </w:r>
      <w:r>
        <w:rPr>
          <w:rFonts w:eastAsiaTheme="minorEastAsia" w:hAnsiTheme="minorEastAsia" w:cstheme="minorEastAsia" w:hint="eastAsia"/>
          <w:sz w:val="16"/>
          <w:szCs w:val="16"/>
        </w:rPr>
        <w:t>á</w:t>
      </w:r>
      <w:r>
        <w:rPr>
          <w:rFonts w:eastAsiaTheme="minorEastAsia" w:hAnsiTheme="minorEastAsia" w:cstheme="minorEastAsia" w:hint="eastAsia"/>
          <w:sz w:val="16"/>
          <w:szCs w:val="16"/>
        </w:rPr>
        <w:t>vel e aprovados pela autoridade competente.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2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Excepcionalmente, caso a futura contratada n</w:t>
      </w:r>
      <w:r>
        <w:rPr>
          <w:rFonts w:eastAsiaTheme="minorEastAsia" w:hAnsiTheme="minorEastAsia" w:cstheme="minorEastAsia" w:hint="eastAsia"/>
          <w:sz w:val="16"/>
          <w:szCs w:val="16"/>
        </w:rPr>
        <w:t>ã</w:t>
      </w:r>
      <w:r>
        <w:rPr>
          <w:rFonts w:eastAsiaTheme="minorEastAsia" w:hAnsiTheme="minorEastAsia" w:cstheme="minorEastAsia" w:hint="eastAsia"/>
          <w:sz w:val="16"/>
          <w:szCs w:val="16"/>
        </w:rPr>
        <w:t>o tenha comercializado o objeto anteriormente, a justificativa de 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 de que trata o caput pode ser realizada com objetos de mesma natureza.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  <w:r>
        <w:rPr>
          <w:rFonts w:eastAsiaTheme="minorEastAsia" w:hAnsiTheme="minorEastAsia" w:cstheme="minorEastAsia" w:hint="eastAsia"/>
          <w:sz w:val="16"/>
          <w:szCs w:val="16"/>
        </w:rPr>
        <w:t>§</w:t>
      </w:r>
      <w:r>
        <w:rPr>
          <w:rFonts w:eastAsiaTheme="minorEastAsia" w:hAnsiTheme="minorEastAsia" w:cstheme="minorEastAsia" w:hint="eastAsia"/>
          <w:sz w:val="16"/>
          <w:szCs w:val="16"/>
        </w:rPr>
        <w:t>3</w:t>
      </w:r>
      <w:r>
        <w:rPr>
          <w:rFonts w:eastAsiaTheme="minorEastAsia" w:hAnsiTheme="minorEastAsia" w:cstheme="minorEastAsia" w:hint="eastAsia"/>
          <w:sz w:val="16"/>
          <w:szCs w:val="16"/>
        </w:rPr>
        <w:t>º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Caso a </w:t>
      </w:r>
      <w:r>
        <w:rPr>
          <w:rFonts w:eastAsiaTheme="minorEastAsia" w:hAnsiTheme="minorEastAsia" w:cstheme="minorEastAsia" w:hint="eastAsia"/>
          <w:sz w:val="16"/>
          <w:szCs w:val="16"/>
        </w:rPr>
        <w:t>justificativa de pre</w:t>
      </w:r>
      <w:r>
        <w:rPr>
          <w:rFonts w:eastAsiaTheme="minorEastAsia" w:hAnsiTheme="minorEastAsia" w:cstheme="minorEastAsia" w:hint="eastAsia"/>
          <w:sz w:val="16"/>
          <w:szCs w:val="16"/>
        </w:rPr>
        <w:t>ç</w:t>
      </w:r>
      <w:r>
        <w:rPr>
          <w:rFonts w:eastAsiaTheme="minorEastAsia" w:hAnsiTheme="minorEastAsia" w:cstheme="minorEastAsia" w:hint="eastAsia"/>
          <w:sz w:val="16"/>
          <w:szCs w:val="16"/>
        </w:rPr>
        <w:t>os aponte para a possibilidade de competi</w:t>
      </w:r>
      <w:r>
        <w:rPr>
          <w:rFonts w:eastAsiaTheme="minorEastAsia" w:hAnsiTheme="minorEastAsia" w:cstheme="minorEastAsia" w:hint="eastAsia"/>
          <w:sz w:val="16"/>
          <w:szCs w:val="16"/>
        </w:rPr>
        <w:t>çã</w:t>
      </w:r>
      <w:r>
        <w:rPr>
          <w:rFonts w:eastAsiaTheme="minorEastAsia" w:hAnsiTheme="minorEastAsia" w:cstheme="minorEastAsia" w:hint="eastAsia"/>
          <w:sz w:val="16"/>
          <w:szCs w:val="16"/>
        </w:rPr>
        <w:t>o no mercado, vedada est</w:t>
      </w:r>
      <w:r>
        <w:rPr>
          <w:rFonts w:eastAsiaTheme="minorEastAsia" w:hAnsiTheme="minorEastAsia" w:cstheme="minorEastAsia" w:hint="eastAsia"/>
          <w:sz w:val="16"/>
          <w:szCs w:val="16"/>
        </w:rPr>
        <w:t>á</w:t>
      </w:r>
      <w:r>
        <w:rPr>
          <w:rFonts w:eastAsiaTheme="minorEastAsia" w:hAnsiTheme="minorEastAsia" w:cstheme="minorEastAsia" w:hint="eastAsia"/>
          <w:sz w:val="16"/>
          <w:szCs w:val="16"/>
        </w:rPr>
        <w:t xml:space="preserve"> a inexigibilidade.</w:t>
      </w:r>
      <w:r>
        <w:rPr>
          <w:rFonts w:eastAsiaTheme="minorEastAsia" w:hAnsiTheme="minorEastAsia" w:cstheme="minorEastAsia"/>
          <w:sz w:val="16"/>
          <w:szCs w:val="16"/>
        </w:rPr>
        <w:t>”</w:t>
      </w:r>
    </w:p>
    <w:p w:rsidR="002C0C6E" w:rsidRDefault="002C0C6E" w:rsidP="00232625">
      <w:pPr>
        <w:pStyle w:val="PargrafodaLista"/>
        <w:keepNext/>
        <w:keepLines/>
        <w:tabs>
          <w:tab w:val="left" w:pos="567"/>
        </w:tabs>
        <w:spacing w:beforeLines="500" w:before="1200" w:after="300" w:line="240" w:lineRule="auto"/>
        <w:ind w:leftChars="1100" w:left="2420"/>
        <w:jc w:val="both"/>
        <w:rPr>
          <w:rFonts w:eastAsiaTheme="minorEastAsia" w:hAnsiTheme="minorEastAsia" w:cstheme="minorEastAsia"/>
          <w:sz w:val="16"/>
          <w:szCs w:val="16"/>
        </w:rPr>
      </w:pPr>
    </w:p>
    <w:p w:rsidR="002C0C6E" w:rsidRDefault="002C0C6E">
      <w:pPr>
        <w:pStyle w:val="PargrafodaLista"/>
        <w:keepNext/>
        <w:keepLines/>
        <w:tabs>
          <w:tab w:val="left" w:pos="567"/>
        </w:tabs>
        <w:spacing w:line="240" w:lineRule="auto"/>
        <w:ind w:leftChars="2200" w:left="4840"/>
        <w:jc w:val="both"/>
        <w:rPr>
          <w:rFonts w:ascii="Calibri Light" w:hAnsi="Calibri Light" w:cs="Calibri Light"/>
          <w:sz w:val="16"/>
          <w:szCs w:val="16"/>
        </w:rPr>
      </w:pPr>
    </w:p>
    <w:p w:rsidR="002C0C6E" w:rsidRDefault="004C4902" w:rsidP="00232625">
      <w:pPr>
        <w:pStyle w:val="PargrafodaLista"/>
        <w:keepNext/>
        <w:keepLines/>
        <w:tabs>
          <w:tab w:val="left" w:pos="567"/>
        </w:tabs>
        <w:spacing w:beforeLines="200" w:before="480" w:line="360" w:lineRule="auto"/>
        <w:ind w:left="0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hAnsi="Calibri Light" w:cs="Calibri Light"/>
        </w:rPr>
        <w:t>Dessa forma, r</w:t>
      </w:r>
      <w:r>
        <w:rPr>
          <w:rFonts w:hAnsi="Calibri Light" w:cs="Calibri Light"/>
        </w:rPr>
        <w:t>esponsabiliz</w:t>
      </w:r>
      <w:r>
        <w:rPr>
          <w:rFonts w:hAnsi="Calibri Light" w:cs="Calibri Light"/>
        </w:rPr>
        <w:t>o-me</w:t>
      </w:r>
      <w:r>
        <w:rPr>
          <w:rFonts w:hAnsi="Calibri Light" w:cs="Calibri Light"/>
        </w:rPr>
        <w:t xml:space="preserve"> pela veracidade das informa</w:t>
      </w:r>
      <w:r>
        <w:rPr>
          <w:rFonts w:hAnsi="Calibri Light" w:cs="Calibri Light"/>
        </w:rPr>
        <w:t>çõ</w:t>
      </w:r>
      <w:r>
        <w:rPr>
          <w:rFonts w:hAnsi="Calibri Light" w:cs="Calibri Light"/>
        </w:rPr>
        <w:t>es contidas na Solicita</w:t>
      </w:r>
      <w:r>
        <w:rPr>
          <w:rFonts w:hAnsi="Calibri Light" w:cs="Calibri Light"/>
        </w:rPr>
        <w:t>çã</w:t>
      </w:r>
      <w:r>
        <w:rPr>
          <w:rFonts w:hAnsi="Calibri Light" w:cs="Calibri Light"/>
        </w:rPr>
        <w:t xml:space="preserve">o de Compra, assim como os anexos inseridos no Portal Administrativo </w:t>
      </w:r>
      <w:r>
        <w:rPr>
          <w:rFonts w:hAnsi="Calibri Light" w:cs="Calibri Light"/>
        </w:rPr>
        <w:t>da UFES</w:t>
      </w:r>
      <w:r>
        <w:rPr>
          <w:rFonts w:hAnsi="Calibri Light" w:cs="Calibri Light"/>
        </w:rPr>
        <w:t xml:space="preserve"> e que todo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pre</w:t>
      </w:r>
      <w:r>
        <w:rPr>
          <w:rFonts w:hAnsi="Calibri Light" w:cs="Calibri Light"/>
        </w:rPr>
        <w:t>ç</w:t>
      </w:r>
      <w:r>
        <w:rPr>
          <w:rFonts w:hAnsi="Calibri Light" w:cs="Calibri Light"/>
        </w:rPr>
        <w:t>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informado</w:t>
      </w:r>
      <w:r>
        <w:rPr>
          <w:rFonts w:hAnsi="Calibri Light" w:cs="Calibri Light"/>
        </w:rPr>
        <w:t>(</w:t>
      </w:r>
      <w:r>
        <w:rPr>
          <w:rFonts w:hAnsi="Calibri Light" w:cs="Calibri Light"/>
        </w:rPr>
        <w:t>s</w:t>
      </w:r>
      <w:r>
        <w:rPr>
          <w:rFonts w:hAnsi="Calibri Light" w:cs="Calibri Light"/>
        </w:rPr>
        <w:t>)</w:t>
      </w:r>
      <w:r>
        <w:rPr>
          <w:rFonts w:hAnsi="Calibri Light" w:cs="Calibri Light"/>
        </w:rPr>
        <w:t xml:space="preserve"> reflete</w:t>
      </w:r>
      <w:r>
        <w:rPr>
          <w:rFonts w:hAnsi="Calibri Light" w:cs="Calibri Light"/>
        </w:rPr>
        <w:t>m</w:t>
      </w:r>
      <w:r>
        <w:rPr>
          <w:rFonts w:hAnsi="Calibri Light" w:cs="Calibri Light"/>
        </w:rPr>
        <w:t xml:space="preserve"> o valor de mercado e atendem </w:t>
      </w:r>
      <w:r>
        <w:rPr>
          <w:rFonts w:hAnsi="Calibri Light" w:cs="Calibri Light"/>
        </w:rPr>
        <w:t>à</w:t>
      </w:r>
      <w:r>
        <w:rPr>
          <w:rFonts w:hAnsi="Calibri Light" w:cs="Calibri Light"/>
        </w:rPr>
        <w:t xml:space="preserve"> descri</w:t>
      </w:r>
      <w:r>
        <w:rPr>
          <w:rFonts w:hAnsi="Calibri Light" w:cs="Calibri Light"/>
        </w:rPr>
        <w:t>çã</w:t>
      </w:r>
      <w:r>
        <w:rPr>
          <w:rFonts w:hAnsi="Calibri Light" w:cs="Calibri Light"/>
        </w:rPr>
        <w:t xml:space="preserve">o e </w:t>
      </w:r>
      <w:r>
        <w:rPr>
          <w:rFonts w:hAnsi="Calibri Light" w:cs="Calibri Light"/>
        </w:rPr>
        <w:t>à</w:t>
      </w:r>
      <w:r>
        <w:rPr>
          <w:rFonts w:hAnsi="Calibri Light" w:cs="Calibri Light"/>
        </w:rPr>
        <w:t>s especificidades necess</w:t>
      </w:r>
      <w:r>
        <w:rPr>
          <w:rFonts w:hAnsi="Calibri Light" w:cs="Calibri Light"/>
        </w:rPr>
        <w:t>á</w:t>
      </w:r>
      <w:r>
        <w:rPr>
          <w:rFonts w:hAnsi="Calibri Light" w:cs="Calibri Light"/>
        </w:rPr>
        <w:t xml:space="preserve">rias </w:t>
      </w:r>
      <w:r>
        <w:rPr>
          <w:rFonts w:hAnsi="Calibri Light" w:cs="Calibri Light"/>
        </w:rPr>
        <w:t>ao materia</w:t>
      </w:r>
      <w:r>
        <w:rPr>
          <w:rFonts w:hAnsi="Calibri Light" w:cs="Calibri Light"/>
        </w:rPr>
        <w:t>l a ser contratado/ adquirido</w:t>
      </w:r>
      <w:r>
        <w:rPr>
          <w:rFonts w:hAnsi="Calibri Light" w:cs="Calibri Light"/>
          <w:sz w:val="16"/>
          <w:szCs w:val="16"/>
        </w:rPr>
        <w:t>.</w:t>
      </w:r>
    </w:p>
    <w:p w:rsidR="002C0C6E" w:rsidRDefault="002C0C6E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2C0C6E" w:rsidRDefault="002C0C6E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2C0C6E" w:rsidRDefault="002C0C6E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</w:p>
    <w:p w:rsidR="002C0C6E" w:rsidRDefault="004C4902">
      <w:pPr>
        <w:pStyle w:val="PargrafodaLista"/>
        <w:keepNext/>
        <w:keepLines/>
        <w:tabs>
          <w:tab w:val="left" w:pos="567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mc:AlternateContent>
          <mc:Choice Requires="wps">
            <w:drawing>
              <wp:inline distT="45720" distB="45720" distL="114300" distR="114300">
                <wp:extent cx="6038215" cy="799465"/>
                <wp:effectExtent l="4445" t="4445" r="15240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799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C0C6E" w:rsidRDefault="004C4902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NOTA EXPLICATIVA: Este documento deverá ser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ASSINADO DIGITALMENTE,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via Lepisma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, pelo RESPONSÁVEL PELA PESQUISA DE PREÇOS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anexado à SOLICITAÇÃO DE COMPRA.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2C0C6E" w:rsidRDefault="004C4902">
                            <w:pPr>
                              <w:pStyle w:val="PargrafodaLista"/>
                              <w:tabs>
                                <w:tab w:val="left" w:pos="90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</w:rPr>
                              <w:t>LEMBRETE: APAGAR ESTA NOTA EXPLICATIVA!!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height:62.95pt;width:475.45pt;" fillcolor="#FF0000" filled="t" stroked="t" coordsize="21600,21600" o:gfxdata="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5979fTAAAABQEAAA8AAAAAAAAAAQAgAAAA&#10;IgAAAGRycy9kb3ducmV2LnhtbFBLAQIUABQAAAAIAIdO4kAvHqzMEAIAACwEAAAOAAAAAAAAAAEA&#10;IAAAACIBAABkcnMvZTJvRG9jLnhtbFBLBQYAAAAABgAGAFkBAACk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NOTA EXPLICATIVA: Este documento deverá ser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ASSINADO DIGITALMENTE,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via Lepisma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 pelo RESPONSÁVEL PELA PESQUISA DE PREÇOS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e </w:t>
                      </w: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anexado à SOLICITAÇÃO DE COMPRA.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0"/>
                        <w:tabs>
                          <w:tab w:val="left" w:pos="90"/>
                        </w:tabs>
                        <w:spacing w:line="360" w:lineRule="auto"/>
                        <w:ind w:left="0"/>
                        <w:jc w:val="center"/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Theme="majorHAnsi" w:hAnsiTheme="majorHAnsi" w:cstheme="majorHAnsi"/>
                          <w:b/>
                          <w:bCs/>
                          <w:color w:val="FFFFFF" w:themeColor="background1"/>
                          <w:lang w:val="pt-B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LEMBRETE: APAGAR ESTA NOTA EXPLICATIVA!!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 w:rsidR="002C0C6E">
      <w:headerReference w:type="default" r:id="rId9"/>
      <w:footerReference w:type="default" r:id="rId10"/>
      <w:pgSz w:w="11906" w:h="16838"/>
      <w:pgMar w:top="3534" w:right="1134" w:bottom="1118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02" w:rsidRDefault="004C4902">
      <w:pPr>
        <w:spacing w:after="0" w:line="240" w:lineRule="auto"/>
      </w:pPr>
      <w:r>
        <w:separator/>
      </w:r>
    </w:p>
  </w:endnote>
  <w:endnote w:type="continuationSeparator" w:id="0">
    <w:p w:rsidR="004C4902" w:rsidRDefault="004C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icrosoft YaHe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Segoe Print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6E" w:rsidRDefault="004C490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0C6E" w:rsidRDefault="004C4902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262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39.25pt;margin-top:-42.5pt;width:2in;height:2in;z-index:2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" filled="f" stroked="f" strokeweight=".5pt">
              <v:textbox style="mso-fit-shape-to-text:t" inset="0,0,0,0">
                <w:txbxContent>
                  <w:p w:rsidR="002C0C6E" w:rsidRDefault="004C4902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23262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02" w:rsidRDefault="004C4902">
      <w:pPr>
        <w:spacing w:after="0" w:line="240" w:lineRule="auto"/>
      </w:pPr>
      <w:r>
        <w:separator/>
      </w:r>
    </w:p>
  </w:footnote>
  <w:footnote w:type="continuationSeparator" w:id="0">
    <w:p w:rsidR="004C4902" w:rsidRDefault="004C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6E" w:rsidRDefault="004C4902">
    <w:pPr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C6E" w:rsidRDefault="002C0C6E">
    <w:pPr>
      <w:spacing w:after="0"/>
      <w:jc w:val="center"/>
      <w:rPr>
        <w:rFonts w:cs="Arial"/>
        <w:sz w:val="20"/>
        <w:szCs w:val="20"/>
      </w:rPr>
    </w:pPr>
  </w:p>
  <w:p w:rsidR="002C0C6E" w:rsidRDefault="002C0C6E">
    <w:pPr>
      <w:spacing w:after="0"/>
      <w:jc w:val="center"/>
      <w:rPr>
        <w:rFonts w:cs="Arial"/>
        <w:sz w:val="20"/>
        <w:szCs w:val="20"/>
      </w:rPr>
    </w:pPr>
  </w:p>
  <w:p w:rsidR="002C0C6E" w:rsidRDefault="002C0C6E">
    <w:pPr>
      <w:spacing w:after="0"/>
      <w:jc w:val="center"/>
      <w:rPr>
        <w:rFonts w:cs="Arial"/>
        <w:sz w:val="20"/>
        <w:szCs w:val="20"/>
      </w:rPr>
    </w:pPr>
  </w:p>
  <w:p w:rsidR="002C0C6E" w:rsidRDefault="002C0C6E">
    <w:pPr>
      <w:spacing w:after="0"/>
      <w:jc w:val="center"/>
      <w:rPr>
        <w:rFonts w:cs="Arial"/>
        <w:sz w:val="20"/>
        <w:szCs w:val="20"/>
      </w:rPr>
    </w:pPr>
  </w:p>
  <w:p w:rsidR="002C0C6E" w:rsidRDefault="004C4902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 w:rsidR="002C0C6E" w:rsidRDefault="002C0C6E">
    <w:pPr>
      <w:spacing w:after="0" w:line="240" w:lineRule="auto"/>
      <w:jc w:val="center"/>
      <w:rPr>
        <w:rFonts w:ascii="Calibri Light" w:hAnsi="Calibri Light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A"/>
    <w:rsid w:val="000F5D7E"/>
    <w:rsid w:val="001F1816"/>
    <w:rsid w:val="00222CA4"/>
    <w:rsid w:val="00232625"/>
    <w:rsid w:val="00295C1F"/>
    <w:rsid w:val="002C0C6E"/>
    <w:rsid w:val="003E3295"/>
    <w:rsid w:val="004C3FFD"/>
    <w:rsid w:val="004C4902"/>
    <w:rsid w:val="0065035D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13742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191788"/>
    <w:rsid w:val="01DF72C8"/>
    <w:rsid w:val="02025BE2"/>
    <w:rsid w:val="02C27CBF"/>
    <w:rsid w:val="02F17FA0"/>
    <w:rsid w:val="03F746BF"/>
    <w:rsid w:val="0416365D"/>
    <w:rsid w:val="06DE424C"/>
    <w:rsid w:val="071D6BFB"/>
    <w:rsid w:val="074F0B8F"/>
    <w:rsid w:val="086F1204"/>
    <w:rsid w:val="0B1D7F40"/>
    <w:rsid w:val="0B4249D9"/>
    <w:rsid w:val="0B5E4327"/>
    <w:rsid w:val="0B9B6462"/>
    <w:rsid w:val="0CA3269D"/>
    <w:rsid w:val="0CD23DEF"/>
    <w:rsid w:val="0E3F04CE"/>
    <w:rsid w:val="0FA11065"/>
    <w:rsid w:val="0FB12407"/>
    <w:rsid w:val="101A4CC0"/>
    <w:rsid w:val="11851290"/>
    <w:rsid w:val="14A554F8"/>
    <w:rsid w:val="154C67F1"/>
    <w:rsid w:val="15AF29BA"/>
    <w:rsid w:val="15E64296"/>
    <w:rsid w:val="16054DB6"/>
    <w:rsid w:val="16835256"/>
    <w:rsid w:val="16F0588F"/>
    <w:rsid w:val="186C0098"/>
    <w:rsid w:val="19367A77"/>
    <w:rsid w:val="1AC76B45"/>
    <w:rsid w:val="1BCF0769"/>
    <w:rsid w:val="1C250B1C"/>
    <w:rsid w:val="1C7554C2"/>
    <w:rsid w:val="1DED6826"/>
    <w:rsid w:val="20020462"/>
    <w:rsid w:val="20284E02"/>
    <w:rsid w:val="206F02E5"/>
    <w:rsid w:val="207436EE"/>
    <w:rsid w:val="22183949"/>
    <w:rsid w:val="22B23450"/>
    <w:rsid w:val="236E2C2F"/>
    <w:rsid w:val="24410FD3"/>
    <w:rsid w:val="24A51E96"/>
    <w:rsid w:val="250B6FBB"/>
    <w:rsid w:val="252B22A4"/>
    <w:rsid w:val="25896DA4"/>
    <w:rsid w:val="26476A37"/>
    <w:rsid w:val="27330A3E"/>
    <w:rsid w:val="273727FA"/>
    <w:rsid w:val="27D27ACB"/>
    <w:rsid w:val="280026E7"/>
    <w:rsid w:val="28343DC7"/>
    <w:rsid w:val="29141748"/>
    <w:rsid w:val="2B234F7C"/>
    <w:rsid w:val="2B536B8C"/>
    <w:rsid w:val="2BFF024B"/>
    <w:rsid w:val="2C862430"/>
    <w:rsid w:val="2CD06396"/>
    <w:rsid w:val="2DE13CD1"/>
    <w:rsid w:val="2E1B1C62"/>
    <w:rsid w:val="2F776173"/>
    <w:rsid w:val="30B60ACC"/>
    <w:rsid w:val="31C85C48"/>
    <w:rsid w:val="330269F8"/>
    <w:rsid w:val="33FB648C"/>
    <w:rsid w:val="36964D1D"/>
    <w:rsid w:val="386E3F8F"/>
    <w:rsid w:val="395C415E"/>
    <w:rsid w:val="3B770E4B"/>
    <w:rsid w:val="3EE550C3"/>
    <w:rsid w:val="40EC6E0A"/>
    <w:rsid w:val="43BD37E2"/>
    <w:rsid w:val="43C07C25"/>
    <w:rsid w:val="44001DC9"/>
    <w:rsid w:val="459E0302"/>
    <w:rsid w:val="48965AF1"/>
    <w:rsid w:val="48A44CE7"/>
    <w:rsid w:val="48C86073"/>
    <w:rsid w:val="4A250949"/>
    <w:rsid w:val="4AB360BE"/>
    <w:rsid w:val="4AC44AAF"/>
    <w:rsid w:val="4AFD31A8"/>
    <w:rsid w:val="4BA10E1C"/>
    <w:rsid w:val="4C2207C5"/>
    <w:rsid w:val="4D07578B"/>
    <w:rsid w:val="4D1B3395"/>
    <w:rsid w:val="4F6B11C2"/>
    <w:rsid w:val="51F14C12"/>
    <w:rsid w:val="52B618CF"/>
    <w:rsid w:val="52D52181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9A30C8"/>
    <w:rsid w:val="5EE35C83"/>
    <w:rsid w:val="5F9760F7"/>
    <w:rsid w:val="5FB52CE7"/>
    <w:rsid w:val="604C0F73"/>
    <w:rsid w:val="611F027B"/>
    <w:rsid w:val="615B58E2"/>
    <w:rsid w:val="618D1825"/>
    <w:rsid w:val="61D73619"/>
    <w:rsid w:val="63752A61"/>
    <w:rsid w:val="64462175"/>
    <w:rsid w:val="65E35215"/>
    <w:rsid w:val="65F81970"/>
    <w:rsid w:val="670B3BCF"/>
    <w:rsid w:val="698F4729"/>
    <w:rsid w:val="6BEE1735"/>
    <w:rsid w:val="6D1F7646"/>
    <w:rsid w:val="6E016769"/>
    <w:rsid w:val="6E7826F9"/>
    <w:rsid w:val="6F086FFA"/>
    <w:rsid w:val="6F7D665A"/>
    <w:rsid w:val="71DF7607"/>
    <w:rsid w:val="721D03C1"/>
    <w:rsid w:val="73681716"/>
    <w:rsid w:val="7479702C"/>
    <w:rsid w:val="7746138D"/>
    <w:rsid w:val="77DE66C3"/>
    <w:rsid w:val="77FA239A"/>
    <w:rsid w:val="78F003E7"/>
    <w:rsid w:val="79F47AD1"/>
    <w:rsid w:val="7A073729"/>
    <w:rsid w:val="7A42354D"/>
    <w:rsid w:val="7AED4427"/>
    <w:rsid w:val="7B321443"/>
    <w:rsid w:val="7C406F6C"/>
    <w:rsid w:val="7DEF4C7A"/>
    <w:rsid w:val="7E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qFormat/>
    <w:pPr>
      <w:spacing w:beforeAutospacing="1" w:afterAutospacing="1"/>
    </w:pPr>
    <w:rPr>
      <w:rFonts w:ascii="Calibri" w:eastAsia="Calibri" w:hAnsi="Calibri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qFormat/>
    <w:pPr>
      <w:spacing w:beforeAutospacing="1" w:afterAutospacing="1"/>
    </w:pPr>
    <w:rPr>
      <w:rFonts w:ascii="Calibri" w:eastAsia="Calibri" w:hAnsi="Calibri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umerao">
    <w:name w:val="Numeração"/>
    <w:basedOn w:val="PargrafodaLista"/>
    <w:qFormat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A0928-F286-453B-A4AF-BDD6630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492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Mothe Guimaraes</dc:creator>
  <cp:lastModifiedBy>OPERADOR</cp:lastModifiedBy>
  <cp:revision>10</cp:revision>
  <dcterms:created xsi:type="dcterms:W3CDTF">2020-05-22T15:44:00Z</dcterms:created>
  <dcterms:modified xsi:type="dcterms:W3CDTF">2020-11-13T11:39:00Z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