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1101" w14:textId="056B21A1" w:rsidR="00C77900" w:rsidRDefault="0092473A" w:rsidP="0092473A">
      <w:pPr>
        <w:jc w:val="center"/>
        <w:rPr>
          <w:b/>
          <w:bCs/>
          <w:sz w:val="44"/>
          <w:szCs w:val="44"/>
        </w:rPr>
      </w:pPr>
      <w:r w:rsidRPr="0092473A">
        <w:rPr>
          <w:b/>
          <w:bCs/>
          <w:sz w:val="44"/>
          <w:szCs w:val="44"/>
        </w:rPr>
        <w:t>Estudo Técnico Preliminar – TIC</w:t>
      </w:r>
    </w:p>
    <w:p w14:paraId="5C63004E" w14:textId="1671A1D5" w:rsidR="00937796" w:rsidRDefault="00937796" w:rsidP="0092473A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Comprasnet</w:t>
      </w:r>
      <w:proofErr w:type="spellEnd"/>
      <w:r>
        <w:rPr>
          <w:b/>
          <w:bCs/>
          <w:sz w:val="44"/>
          <w:szCs w:val="44"/>
        </w:rPr>
        <w:t xml:space="preserve"> 4.0</w:t>
      </w:r>
    </w:p>
    <w:p w14:paraId="2848563D" w14:textId="77777777" w:rsidR="00915730" w:rsidRPr="00915730" w:rsidRDefault="00915730" w:rsidP="0092473A">
      <w:pPr>
        <w:jc w:val="center"/>
        <w:rPr>
          <w:b/>
          <w:bCs/>
          <w:sz w:val="24"/>
          <w:szCs w:val="24"/>
        </w:rPr>
      </w:pPr>
    </w:p>
    <w:p w14:paraId="698588BE" w14:textId="77777777" w:rsidR="0092473A" w:rsidRPr="0092473A" w:rsidRDefault="0092473A" w:rsidP="0092473A"/>
    <w:p w14:paraId="6721DC9B" w14:textId="71BB3A71" w:rsidR="0092473A" w:rsidRDefault="00937796" w:rsidP="00937796">
      <w:r>
        <w:t>1.</w:t>
      </w:r>
      <w:r w:rsidR="0092473A" w:rsidRPr="0092473A">
        <w:t xml:space="preserve">Número do processo </w:t>
      </w:r>
      <w:r>
        <w:t xml:space="preserve">(não e </w:t>
      </w:r>
      <w:r w:rsidR="007B696D">
        <w:t xml:space="preserve">obrigatório o preenchimento) </w:t>
      </w:r>
    </w:p>
    <w:p w14:paraId="21A44DD7" w14:textId="77777777" w:rsidR="0092473A" w:rsidRDefault="0092473A" w:rsidP="0092473A"/>
    <w:p w14:paraId="520A18F4" w14:textId="13FB3EC8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2. Descrição da necessidade</w:t>
      </w:r>
    </w:p>
    <w:p w14:paraId="6184EB9C" w14:textId="62B75923" w:rsidR="00915730" w:rsidRPr="0016585A" w:rsidRDefault="0016585A" w:rsidP="0092473A">
      <w:pPr>
        <w:rPr>
          <w:rStyle w:val="ng-star-inserted"/>
          <w:rFonts w:ascii="Rawline" w:hAnsi="Rawline"/>
          <w:i/>
          <w:iCs/>
          <w:color w:val="A6A6A6" w:themeColor="background1" w:themeShade="A6"/>
          <w:shd w:val="clear" w:color="auto" w:fill="FFFFFF"/>
        </w:rPr>
      </w:pPr>
      <w:r w:rsidRPr="0016585A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Descrição da necessidade para o órgão, entidade ou determinado </w:t>
      </w:r>
      <w:proofErr w:type="gramStart"/>
      <w:r w:rsidRPr="0016585A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público alvo</w:t>
      </w:r>
      <w:proofErr w:type="gramEnd"/>
      <w:r w:rsidRPr="0016585A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 que a contratação se propõe a atender. A descrição necessidade pode ser realizada por meio da declaração da situação problema a ser enfrentada ou da oportunidade de negócio a ser alcançada, incluindo a discriminação do valor a ser entregue à organização ou </w:t>
      </w:r>
      <w:proofErr w:type="gramStart"/>
      <w:r w:rsidRPr="0016585A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público alvo</w:t>
      </w:r>
      <w:proofErr w:type="gramEnd"/>
      <w:r w:rsidRPr="0016585A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.</w:t>
      </w:r>
    </w:p>
    <w:p w14:paraId="16608064" w14:textId="77777777" w:rsidR="0016585A" w:rsidRDefault="0016585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</w:p>
    <w:p w14:paraId="75435759" w14:textId="0F8903B9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3. Área requisitante</w:t>
      </w:r>
    </w:p>
    <w:p w14:paraId="117B7F35" w14:textId="73C8E221" w:rsidR="0092473A" w:rsidRPr="0016585A" w:rsidRDefault="0016585A" w:rsidP="0092473A">
      <w:pPr>
        <w:rPr>
          <w:rStyle w:val="ng-star-inserted"/>
          <w:rFonts w:ascii="Rawline" w:hAnsi="Rawline"/>
          <w:i/>
          <w:iCs/>
          <w:color w:val="A6A6A6" w:themeColor="background1" w:themeShade="A6"/>
          <w:shd w:val="clear" w:color="auto" w:fill="FFFFFF"/>
        </w:rPr>
      </w:pPr>
      <w:r w:rsidRPr="0016585A">
        <w:rPr>
          <w:rStyle w:val="ng-star-inserted"/>
          <w:rFonts w:ascii="Rawline" w:hAnsi="Rawline"/>
          <w:i/>
          <w:iCs/>
          <w:color w:val="A6A6A6" w:themeColor="background1" w:themeShade="A6"/>
          <w:shd w:val="clear" w:color="auto" w:fill="FFFFFF"/>
        </w:rPr>
        <w:t>Área:</w:t>
      </w:r>
    </w:p>
    <w:p w14:paraId="704C4338" w14:textId="4B857A5F" w:rsidR="0016585A" w:rsidRPr="0016585A" w:rsidRDefault="0016585A" w:rsidP="0092473A">
      <w:pPr>
        <w:rPr>
          <w:rStyle w:val="ng-star-inserted"/>
          <w:rFonts w:ascii="Rawline" w:hAnsi="Rawline"/>
          <w:i/>
          <w:iCs/>
          <w:color w:val="A6A6A6" w:themeColor="background1" w:themeShade="A6"/>
          <w:shd w:val="clear" w:color="auto" w:fill="FFFFFF"/>
        </w:rPr>
      </w:pPr>
      <w:r w:rsidRPr="0016585A">
        <w:rPr>
          <w:rStyle w:val="ng-star-inserted"/>
          <w:rFonts w:ascii="Rawline" w:hAnsi="Rawline"/>
          <w:i/>
          <w:iCs/>
          <w:color w:val="A6A6A6" w:themeColor="background1" w:themeShade="A6"/>
          <w:shd w:val="clear" w:color="auto" w:fill="FFFFFF"/>
        </w:rPr>
        <w:t xml:space="preserve">Responsável: </w:t>
      </w:r>
    </w:p>
    <w:p w14:paraId="28D9ECB2" w14:textId="77777777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</w:p>
    <w:p w14:paraId="30A19067" w14:textId="06D64D85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4. Necessidades de Negócio</w:t>
      </w:r>
    </w:p>
    <w:p w14:paraId="3B499866" w14:textId="11397CA5" w:rsidR="0092473A" w:rsidRPr="007B696D" w:rsidRDefault="0092473A" w:rsidP="0092473A">
      <w:pPr>
        <w:rPr>
          <w:rStyle w:val="ng-star-inserted"/>
          <w:rFonts w:ascii="Rawline" w:hAnsi="Rawline"/>
          <w:i/>
          <w:iCs/>
          <w:color w:val="A6A6A6" w:themeColor="background1" w:themeShade="A6"/>
          <w:shd w:val="clear" w:color="auto" w:fill="FFFFFF"/>
        </w:rPr>
      </w:pP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Conforme o inciso I, do art. 11, da IN SGD/ME nº 1, de 2019, o órgão demandante deve definir e especificar as necessidades de negócio que a contratação via atender. Essas necessidades podem ser </w:t>
      </w:r>
      <w:r w:rsidR="007B696D"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descritas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 por meio de declarações de metas de negócio, objetivos ou resultados que descrevem o porquê do planejamento da contratação. Essas necessidades podem se aplicar a toda à entidade, a uma área de negócios, a uma iniciativa específica ou a determinado </w:t>
      </w:r>
      <w:proofErr w:type="gramStart"/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público alvo</w:t>
      </w:r>
      <w:proofErr w:type="gramEnd"/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.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</w:rPr>
        <w:br/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A definição das necessidades de negócio representa o detalhamento do objeto a ser contratado - O QUE a solução deve prover, independentemente da tecnologia que se empregue ou dos padrões tecnológicos da instituição.</w:t>
      </w:r>
    </w:p>
    <w:p w14:paraId="6C9907AB" w14:textId="77777777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</w:p>
    <w:p w14:paraId="5B2323E5" w14:textId="77777777" w:rsidR="0092473A" w:rsidRPr="0092473A" w:rsidRDefault="0092473A" w:rsidP="0092473A">
      <w:pPr>
        <w:shd w:val="clear" w:color="auto" w:fill="FFFFFF"/>
        <w:spacing w:after="100" w:afterAutospacing="1" w:line="240" w:lineRule="auto"/>
        <w:rPr>
          <w:rFonts w:ascii="Rawline" w:eastAsia="Times New Roman" w:hAnsi="Rawline" w:cs="Times New Roman"/>
          <w:color w:val="333333"/>
          <w:sz w:val="24"/>
          <w:szCs w:val="24"/>
          <w:lang w:eastAsia="pt-BR"/>
        </w:rPr>
      </w:pPr>
      <w:r w:rsidRPr="0092473A">
        <w:rPr>
          <w:rFonts w:ascii="Rawline" w:eastAsia="Times New Roman" w:hAnsi="Rawline" w:cs="Times New Roman"/>
          <w:color w:val="333333"/>
          <w:sz w:val="24"/>
          <w:szCs w:val="24"/>
          <w:lang w:eastAsia="pt-BR"/>
        </w:rPr>
        <w:t>5. Necessidades Tecnológicas</w:t>
      </w:r>
    </w:p>
    <w:p w14:paraId="58B91061" w14:textId="2C7EFE09" w:rsidR="0092473A" w:rsidRPr="007B696D" w:rsidRDefault="0092473A" w:rsidP="0092473A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Conforme o inciso I, do art. 11, da IN SGD/ME nº 1, de 2019, o órgão demandante deve definir e especificar as necessidades tecnológicas, aquelas que definem os padrões, metodologias, processos definidos, competências das equipes, cuidados com a segurança da informação, entre outros aspectos, que a solução deve atender para que atinja o desempenho e os resultados esperados.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</w:rPr>
        <w:br/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Essas definições são inerentes ao ambiente computacional da organização, envolvem características de sua infraestrutura, capacidade, organização, boas práticas implementadas e decisões que foram tomadas pela área de TIC ao longo dos anos, bem com os projetos para o futuro.</w:t>
      </w:r>
    </w:p>
    <w:p w14:paraId="5D12CA6F" w14:textId="77777777" w:rsidR="0092473A" w:rsidRDefault="0092473A" w:rsidP="0092473A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02A2CE6D" w14:textId="698D0EED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lastRenderedPageBreak/>
        <w:t>6. Demais requisitos necessários e suficientes à escolha da solução de TIC</w:t>
      </w:r>
    </w:p>
    <w:p w14:paraId="2261E7E6" w14:textId="00D3EC93" w:rsidR="0092473A" w:rsidRPr="007B696D" w:rsidRDefault="0092473A" w:rsidP="0092473A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Deve-se descrever todos os requisitos indispensáveis ao atendimento à necessidade de negócio e garantindo-se a economicidade da contratação. Nessa seção pode-se detalhar: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</w:rPr>
        <w:br/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a) os requisitos Internos Funcionais, que são aqueles ligados diretamente às funcionalidades esperadas pela área requisitante e necessárias aos usuários finais, de maneira a atender à necessidade da contratação.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</w:rPr>
        <w:br/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b) Requisitos Internos Não Funcionais, que não estão vinculados diretamente à necessidade da contratação (a exemplo de requisitos de disponibilidade, usabilidade, acessibilidade</w:t>
      </w:r>
      <w:r w:rsidRPr="007B696D">
        <w:rPr>
          <w:rFonts w:ascii="Rawline" w:hAnsi="Rawline"/>
          <w:color w:val="A6A6A6" w:themeColor="background1" w:themeShade="A6"/>
          <w:sz w:val="21"/>
          <w:szCs w:val="21"/>
          <w:shd w:val="clear" w:color="auto" w:fill="FFFFFF"/>
        </w:rPr>
        <w:t xml:space="preserve">, integridade, 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segurança) ou ainda relacionado a </w:t>
      </w:r>
      <w:r w:rsidR="007B696D"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atendimento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 a padrões internos da organização.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</w:rPr>
        <w:br/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c) Requisitos Externos, que são os gerados fora da organização, a exemplo de demandas legais, regulatórias e de padronização estabelecidas pelo Governo Federal.</w:t>
      </w:r>
    </w:p>
    <w:p w14:paraId="178C1740" w14:textId="77777777" w:rsidR="0092473A" w:rsidRDefault="0092473A" w:rsidP="0092473A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58ABCEE6" w14:textId="73FB0C4A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7. Estimativa da demanda - quantidade de bens e serviços</w:t>
      </w:r>
    </w:p>
    <w:p w14:paraId="62A8BF5C" w14:textId="6D993E69" w:rsidR="0092473A" w:rsidRPr="007B696D" w:rsidRDefault="0092473A" w:rsidP="0092473A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Conforme o inciso I, do art. 11, da IN SGD/ME nº 1, de 2019, o órgão demandante deve descrever de forma detalhada, motivada e justificada, inclusive quanto à forma de cálculo, o quantitativo de bens e serviços necessários para a sua composição. É importante documentar a aplicação do método adotado para o cálculo das estimativas das quantidades dos itens a contratar, explicitando como os cálculos foram feitos (memorial de cálculo).</w:t>
      </w:r>
    </w:p>
    <w:p w14:paraId="29F4A8CE" w14:textId="77777777" w:rsidR="0092473A" w:rsidRPr="007B696D" w:rsidRDefault="0092473A" w:rsidP="0092473A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</w:p>
    <w:p w14:paraId="0228017A" w14:textId="77777777" w:rsidR="0092473A" w:rsidRPr="0092473A" w:rsidRDefault="0092473A" w:rsidP="0092473A">
      <w:pPr>
        <w:shd w:val="clear" w:color="auto" w:fill="FFFFFF"/>
        <w:spacing w:after="100" w:afterAutospacing="1" w:line="240" w:lineRule="auto"/>
        <w:rPr>
          <w:rFonts w:ascii="Rawline" w:eastAsia="Times New Roman" w:hAnsi="Rawline" w:cs="Times New Roman"/>
          <w:color w:val="333333"/>
          <w:sz w:val="24"/>
          <w:szCs w:val="24"/>
          <w:lang w:eastAsia="pt-BR"/>
        </w:rPr>
      </w:pPr>
      <w:r w:rsidRPr="0092473A">
        <w:rPr>
          <w:rFonts w:ascii="Rawline" w:eastAsia="Times New Roman" w:hAnsi="Rawline" w:cs="Times New Roman"/>
          <w:color w:val="333333"/>
          <w:sz w:val="24"/>
          <w:szCs w:val="24"/>
          <w:lang w:eastAsia="pt-BR"/>
        </w:rPr>
        <w:t>8. Levantamento de soluções</w:t>
      </w:r>
    </w:p>
    <w:p w14:paraId="54EEBA3E" w14:textId="77777777" w:rsidR="0092473A" w:rsidRPr="007B696D" w:rsidRDefault="0092473A" w:rsidP="009247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shd w:val="clear" w:color="auto" w:fill="FFFFFF"/>
          <w:lang w:eastAsia="pt-BR"/>
        </w:rPr>
        <w:t>Deve-se realizar um levantamento de soluções disponíveis que podem atender à necessidade da contratação para órgão/entidade, considerando as possibilidades descritas abaixo, em alinhamento ao inciso II do art. 11:</w:t>
      </w:r>
    </w:p>
    <w:p w14:paraId="656BB2D7" w14:textId="77777777" w:rsidR="0092473A" w:rsidRPr="007B696D" w:rsidRDefault="0092473A" w:rsidP="00924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Necessidades similares em outros órgãos ou entidades da Administração Pública e as soluções adotadas;</w:t>
      </w:r>
    </w:p>
    <w:p w14:paraId="6FB8C588" w14:textId="77777777" w:rsidR="0092473A" w:rsidRPr="007B696D" w:rsidRDefault="0092473A" w:rsidP="00924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As alternativas do mercado;</w:t>
      </w:r>
    </w:p>
    <w:p w14:paraId="1E7EF409" w14:textId="77777777" w:rsidR="0092473A" w:rsidRPr="007B696D" w:rsidRDefault="0092473A" w:rsidP="00924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A existência de software público brasileiro, quando aplicável;</w:t>
      </w:r>
    </w:p>
    <w:p w14:paraId="0764BA0A" w14:textId="77777777" w:rsidR="0092473A" w:rsidRPr="007B696D" w:rsidRDefault="0092473A" w:rsidP="00924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 xml:space="preserve">As políticas, os modelos e os padrões de governo, a exemplo do </w:t>
      </w:r>
      <w:proofErr w:type="spellStart"/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ePing</w:t>
      </w:r>
      <w:proofErr w:type="spellEnd"/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 xml:space="preserve">, </w:t>
      </w:r>
      <w:proofErr w:type="spellStart"/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eMag</w:t>
      </w:r>
      <w:proofErr w:type="spellEnd"/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 xml:space="preserve">, </w:t>
      </w:r>
      <w:proofErr w:type="spellStart"/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ePwg</w:t>
      </w:r>
      <w:proofErr w:type="spellEnd"/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, ICP-Brasil e e-ARQ Brasil, quando aplicáveis;</w:t>
      </w:r>
    </w:p>
    <w:p w14:paraId="3E41D106" w14:textId="6DE7E562" w:rsidR="0092473A" w:rsidRPr="007B696D" w:rsidRDefault="0092473A" w:rsidP="00924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 xml:space="preserve">As necessidades de adequação do ambiente do órgão ou entidade para viabilizar a execução contratual (exemplo: mobiliário, instalação elétrica, espaço adequado para prestação do </w:t>
      </w:r>
      <w:proofErr w:type="gramStart"/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 xml:space="preserve">serviço, </w:t>
      </w:r>
      <w:r w:rsidR="007B696D"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etc.</w:t>
      </w:r>
      <w:proofErr w:type="gramEnd"/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);</w:t>
      </w:r>
    </w:p>
    <w:p w14:paraId="7DFCA047" w14:textId="77777777" w:rsidR="0092473A" w:rsidRPr="007B696D" w:rsidRDefault="0092473A" w:rsidP="00924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A possibilidade de aquisição na forma de bens ou contratação como serviço;</w:t>
      </w:r>
    </w:p>
    <w:p w14:paraId="5F9DC079" w14:textId="77777777" w:rsidR="0092473A" w:rsidRPr="007B696D" w:rsidRDefault="0092473A" w:rsidP="00924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Os diferentes modelos de prestação do serviço;</w:t>
      </w:r>
    </w:p>
    <w:p w14:paraId="41EDC563" w14:textId="77777777" w:rsidR="0092473A" w:rsidRPr="007B696D" w:rsidRDefault="0092473A" w:rsidP="00924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Os diferentes tipos de soluções em termos de especificação, composição ou características dos bens e serviços integrantes;</w:t>
      </w:r>
    </w:p>
    <w:p w14:paraId="59BA423A" w14:textId="77777777" w:rsidR="0092473A" w:rsidRPr="007B696D" w:rsidRDefault="0092473A" w:rsidP="00924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A ampliação ou substituição da solução implantada;</w:t>
      </w:r>
    </w:p>
    <w:p w14:paraId="598B8E0D" w14:textId="77777777" w:rsidR="0092473A" w:rsidRPr="007B696D" w:rsidRDefault="0092473A" w:rsidP="009247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As diferentes métricas de prestação do serviço e de pagamento.</w:t>
      </w:r>
    </w:p>
    <w:p w14:paraId="5F112EAF" w14:textId="59D5608A" w:rsidR="0092473A" w:rsidRDefault="0092473A" w:rsidP="0092473A">
      <w:pPr>
        <w:rPr>
          <w:rFonts w:ascii="Rawline" w:eastAsia="Times New Roman" w:hAnsi="Rawline" w:cs="Times New Roman"/>
          <w:color w:val="333333"/>
          <w:sz w:val="21"/>
          <w:szCs w:val="21"/>
          <w:shd w:val="clear" w:color="auto" w:fill="FFFFFF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shd w:val="clear" w:color="auto" w:fill="FFFFFF"/>
          <w:lang w:eastAsia="pt-BR"/>
        </w:rPr>
        <w:t>Com base neste levantamento, cenários ou arranjos poderão ser formados para compor as soluções possíveis para atendimento da necessidade</w:t>
      </w:r>
      <w:r w:rsidRPr="0092473A">
        <w:rPr>
          <w:rFonts w:ascii="Rawline" w:eastAsia="Times New Roman" w:hAnsi="Rawline" w:cs="Times New Roman"/>
          <w:color w:val="333333"/>
          <w:sz w:val="21"/>
          <w:szCs w:val="21"/>
          <w:shd w:val="clear" w:color="auto" w:fill="FFFFFF"/>
          <w:lang w:eastAsia="pt-BR"/>
        </w:rPr>
        <w:t>.</w:t>
      </w:r>
    </w:p>
    <w:p w14:paraId="608BDC86" w14:textId="77777777" w:rsidR="0016585A" w:rsidRDefault="0016585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</w:p>
    <w:p w14:paraId="6635BE8D" w14:textId="14D59398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9. Análise comparativa de soluções</w:t>
      </w:r>
    </w:p>
    <w:p w14:paraId="61F45B51" w14:textId="77777777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</w:p>
    <w:p w14:paraId="6207AD3B" w14:textId="0A7E76AD" w:rsidR="0092473A" w:rsidRPr="007B696D" w:rsidRDefault="0092473A" w:rsidP="0092473A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lastRenderedPageBreak/>
        <w:t>Consiste em uma análise crítica entre as diferentes soluções, considerando o aspecto econômico (TCO) entre as Soluções e os aspectos qualitativos em termos de benefícios para o alcance dos objetivos da contratação.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</w:rPr>
        <w:br/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Além da abordagem quantitativa, uma boa prática para auxiliar nas decisões é desenhar uma matriz qualitativa comparativa, em que cada coluna representa uma solução e cada linha uma dimensão qualitativa a ser avaliada. Nessa matriz cada célula contém uma avaliação qualidade na relação solução </w:t>
      </w:r>
      <w:proofErr w:type="spellStart"/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vs</w:t>
      </w:r>
      <w:proofErr w:type="spellEnd"/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 dimensão a ser avaliada.</w:t>
      </w:r>
    </w:p>
    <w:p w14:paraId="743B41E2" w14:textId="77777777" w:rsidR="0092473A" w:rsidRDefault="0092473A" w:rsidP="0092473A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6E2F0CC2" w14:textId="3522B4AB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10. Registro de soluções consideradas inviáveis</w:t>
      </w:r>
    </w:p>
    <w:p w14:paraId="1B82DF0C" w14:textId="2EBB2B21" w:rsidR="0092473A" w:rsidRPr="007B696D" w:rsidRDefault="0092473A" w:rsidP="0092473A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Conforme § 1º do art. 11, as soluções identificadas e consideradas inviáveis deverão ser registradas no Estudo Técnico Preliminar da Contratação (breve descrição e justificativa), dispensando-se a realização dos respectivos cálculos de custo total de propriedade.</w:t>
      </w:r>
    </w:p>
    <w:p w14:paraId="67DC6FDE" w14:textId="77777777" w:rsidR="0092473A" w:rsidRDefault="0092473A" w:rsidP="0092473A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735F8045" w14:textId="2ED6DB19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11. Análise comparativa de custos (TCO)</w:t>
      </w:r>
    </w:p>
    <w:p w14:paraId="30736E11" w14:textId="55568E93" w:rsidR="0092473A" w:rsidRPr="007B696D" w:rsidRDefault="0092473A" w:rsidP="0092473A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Conforme inciso III do art. 11, deve-se proceder a comparação de custos totais de propriedade para as soluções técnica e funcionalmente viáveis.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</w:rPr>
        <w:br/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Para cada solução considerada viável deve-se realizar o cálculo do Custo Total de Propriedade, considerando os custos inerentes ao ciclo de vida dos bens e serviços da solução, a exemplo dos valores de aquisição dos ativos, insumos, garantia técnica estendida, manutenção, migração e treinamento.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</w:rPr>
        <w:br/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Deve-se registrar a memória de cálculo que referencie os preços e os custos utilizados na análise, com vistas a permitir a verificação da origem dos dados.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</w:rPr>
        <w:br/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A análise comparativa deve ser feita por meio da elaboração de um mapa comparativo, consolidando os resultados apresentados.</w:t>
      </w:r>
    </w:p>
    <w:p w14:paraId="2035998E" w14:textId="77777777" w:rsidR="0092473A" w:rsidRDefault="0092473A" w:rsidP="0092473A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7FC83527" w14:textId="77777777" w:rsidR="0092473A" w:rsidRPr="0092473A" w:rsidRDefault="0092473A" w:rsidP="0092473A">
      <w:pPr>
        <w:shd w:val="clear" w:color="auto" w:fill="FFFFFF"/>
        <w:spacing w:after="100" w:afterAutospacing="1" w:line="240" w:lineRule="auto"/>
        <w:rPr>
          <w:rFonts w:ascii="Rawline" w:eastAsia="Times New Roman" w:hAnsi="Rawline" w:cs="Times New Roman"/>
          <w:color w:val="333333"/>
          <w:sz w:val="24"/>
          <w:szCs w:val="24"/>
          <w:lang w:eastAsia="pt-BR"/>
        </w:rPr>
      </w:pPr>
      <w:r w:rsidRPr="0092473A">
        <w:rPr>
          <w:rFonts w:ascii="Rawline" w:eastAsia="Times New Roman" w:hAnsi="Rawline" w:cs="Times New Roman"/>
          <w:color w:val="333333"/>
          <w:sz w:val="24"/>
          <w:szCs w:val="24"/>
          <w:lang w:eastAsia="pt-BR"/>
        </w:rPr>
        <w:t>12. Descrição da solução de TIC a ser contratada</w:t>
      </w:r>
    </w:p>
    <w:p w14:paraId="6F779036" w14:textId="77777777" w:rsidR="0092473A" w:rsidRDefault="0092473A" w:rsidP="0092473A">
      <w:pPr>
        <w:shd w:val="clear" w:color="auto" w:fill="FFFFFF"/>
        <w:spacing w:after="0" w:line="240" w:lineRule="auto"/>
        <w:jc w:val="both"/>
        <w:rPr>
          <w:rFonts w:ascii="Rawline" w:eastAsia="Times New Roman" w:hAnsi="Rawline" w:cs="Times New Roman"/>
          <w:color w:val="333333"/>
          <w:sz w:val="21"/>
          <w:szCs w:val="21"/>
          <w:lang w:eastAsia="pt-BR"/>
        </w:rPr>
      </w:pPr>
      <w:r w:rsidRPr="007B696D">
        <w:rPr>
          <w:rFonts w:ascii="Rawline" w:eastAsia="Times New Roman" w:hAnsi="Rawline" w:cs="Times New Roman"/>
          <w:i/>
          <w:iCs/>
          <w:color w:val="A6A6A6" w:themeColor="background1" w:themeShade="A6"/>
          <w:sz w:val="21"/>
          <w:szCs w:val="21"/>
          <w:lang w:eastAsia="pt-BR"/>
        </w:rPr>
        <w:t>Deve-se identificar a solução escolhida que será objeto da contratação</w:t>
      </w:r>
      <w:r w:rsidRPr="0092473A">
        <w:rPr>
          <w:rFonts w:ascii="Rawline" w:eastAsia="Times New Roman" w:hAnsi="Rawline" w:cs="Times New Roman"/>
          <w:color w:val="333333"/>
          <w:sz w:val="21"/>
          <w:szCs w:val="21"/>
          <w:lang w:eastAsia="pt-BR"/>
        </w:rPr>
        <w:t>.</w:t>
      </w:r>
    </w:p>
    <w:p w14:paraId="540D6E27" w14:textId="77777777" w:rsidR="0092473A" w:rsidRDefault="0092473A" w:rsidP="0092473A">
      <w:pPr>
        <w:shd w:val="clear" w:color="auto" w:fill="FFFFFF"/>
        <w:spacing w:after="0" w:line="240" w:lineRule="auto"/>
        <w:jc w:val="both"/>
        <w:rPr>
          <w:rFonts w:ascii="Rawline" w:eastAsia="Times New Roman" w:hAnsi="Rawline" w:cs="Times New Roman"/>
          <w:color w:val="333333"/>
          <w:sz w:val="21"/>
          <w:szCs w:val="21"/>
          <w:lang w:eastAsia="pt-BR"/>
        </w:rPr>
      </w:pPr>
    </w:p>
    <w:p w14:paraId="32FF3B26" w14:textId="77777777" w:rsidR="0092473A" w:rsidRDefault="0092473A" w:rsidP="0092473A">
      <w:pPr>
        <w:shd w:val="clear" w:color="auto" w:fill="FFFFFF"/>
        <w:spacing w:after="0" w:line="240" w:lineRule="auto"/>
        <w:jc w:val="both"/>
        <w:rPr>
          <w:rFonts w:ascii="Rawline" w:eastAsia="Times New Roman" w:hAnsi="Rawline" w:cs="Times New Roman"/>
          <w:color w:val="333333"/>
          <w:sz w:val="21"/>
          <w:szCs w:val="21"/>
          <w:lang w:eastAsia="pt-BR"/>
        </w:rPr>
      </w:pPr>
    </w:p>
    <w:p w14:paraId="652DC92A" w14:textId="77777777" w:rsidR="0092473A" w:rsidRDefault="0092473A" w:rsidP="0092473A">
      <w:pPr>
        <w:shd w:val="clear" w:color="auto" w:fill="FFFFFF"/>
        <w:spacing w:after="0" w:line="240" w:lineRule="auto"/>
        <w:jc w:val="both"/>
        <w:rPr>
          <w:rFonts w:ascii="Rawline" w:eastAsia="Times New Roman" w:hAnsi="Rawline" w:cs="Times New Roman"/>
          <w:color w:val="333333"/>
          <w:sz w:val="21"/>
          <w:szCs w:val="21"/>
          <w:lang w:eastAsia="pt-BR"/>
        </w:rPr>
      </w:pPr>
    </w:p>
    <w:p w14:paraId="7E67AC6A" w14:textId="181A206E" w:rsidR="0092473A" w:rsidRDefault="0092473A" w:rsidP="0092473A">
      <w:pPr>
        <w:shd w:val="clear" w:color="auto" w:fill="FFFFFF"/>
        <w:spacing w:after="0" w:line="240" w:lineRule="auto"/>
        <w:jc w:val="both"/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13. Estimativa de custo total da contratação</w:t>
      </w:r>
    </w:p>
    <w:p w14:paraId="48716FC0" w14:textId="77777777" w:rsidR="0092473A" w:rsidRDefault="0092473A" w:rsidP="0092473A">
      <w:pPr>
        <w:shd w:val="clear" w:color="auto" w:fill="FFFFFF"/>
        <w:spacing w:after="0" w:line="240" w:lineRule="auto"/>
        <w:jc w:val="both"/>
        <w:rPr>
          <w:rStyle w:val="ng-star-inserted"/>
          <w:rFonts w:ascii="Rawline" w:hAnsi="Rawline"/>
          <w:color w:val="333333"/>
          <w:shd w:val="clear" w:color="auto" w:fill="FFFFFF"/>
        </w:rPr>
      </w:pPr>
    </w:p>
    <w:p w14:paraId="182CF90A" w14:textId="7B1AF6DA" w:rsidR="0092473A" w:rsidRDefault="0092473A" w:rsidP="0092473A">
      <w:pPr>
        <w:shd w:val="clear" w:color="auto" w:fill="FFFFFF"/>
        <w:spacing w:after="0" w:line="240" w:lineRule="auto"/>
        <w:jc w:val="both"/>
        <w:rPr>
          <w:rFonts w:ascii="Rawline" w:hAnsi="Rawline"/>
          <w:color w:val="333333"/>
          <w:sz w:val="21"/>
          <w:szCs w:val="21"/>
          <w:shd w:val="clear" w:color="auto" w:fill="FFFFFF"/>
        </w:rPr>
      </w:pP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Registro da estimativa do custo da contratação, considerando a Solução escolhida em formato numérico</w:t>
      </w:r>
      <w:r>
        <w:rPr>
          <w:rFonts w:ascii="Rawline" w:hAnsi="Rawline"/>
          <w:color w:val="333333"/>
          <w:sz w:val="21"/>
          <w:szCs w:val="21"/>
          <w:shd w:val="clear" w:color="auto" w:fill="FFFFFF"/>
        </w:rPr>
        <w:t>.</w:t>
      </w:r>
    </w:p>
    <w:p w14:paraId="2D6A5548" w14:textId="77777777" w:rsidR="0092473A" w:rsidRDefault="0092473A" w:rsidP="0092473A">
      <w:pPr>
        <w:shd w:val="clear" w:color="auto" w:fill="FFFFFF"/>
        <w:spacing w:after="0" w:line="240" w:lineRule="auto"/>
        <w:jc w:val="both"/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0730B3B8" w14:textId="77777777" w:rsidR="0092473A" w:rsidRDefault="0092473A" w:rsidP="0092473A">
      <w:pPr>
        <w:shd w:val="clear" w:color="auto" w:fill="FFFFFF"/>
        <w:spacing w:after="0" w:line="240" w:lineRule="auto"/>
        <w:jc w:val="both"/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02876199" w14:textId="77777777" w:rsidR="0092473A" w:rsidRPr="0092473A" w:rsidRDefault="0092473A" w:rsidP="0092473A">
      <w:pPr>
        <w:shd w:val="clear" w:color="auto" w:fill="FFFFFF"/>
        <w:spacing w:after="100" w:afterAutospacing="1" w:line="240" w:lineRule="auto"/>
        <w:rPr>
          <w:rFonts w:ascii="Rawline" w:eastAsia="Times New Roman" w:hAnsi="Rawline" w:cs="Times New Roman"/>
          <w:color w:val="333333"/>
          <w:sz w:val="24"/>
          <w:szCs w:val="24"/>
          <w:lang w:eastAsia="pt-BR"/>
        </w:rPr>
      </w:pPr>
      <w:r w:rsidRPr="0092473A">
        <w:rPr>
          <w:rFonts w:ascii="Rawline" w:eastAsia="Times New Roman" w:hAnsi="Rawline" w:cs="Times New Roman"/>
          <w:color w:val="333333"/>
          <w:sz w:val="24"/>
          <w:szCs w:val="24"/>
          <w:lang w:eastAsia="pt-BR"/>
        </w:rPr>
        <w:t>14. Justificativa técnica da escolha da solução</w:t>
      </w:r>
    </w:p>
    <w:p w14:paraId="066873D5" w14:textId="0262A5E8" w:rsidR="0092473A" w:rsidRPr="007B696D" w:rsidRDefault="0092473A" w:rsidP="0092473A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Descrever as razões técnicas que motivaram a escolha da solução, considerando os aspectos qualitativos incluindo riscos e a relação aos benefícios esperados.</w:t>
      </w:r>
    </w:p>
    <w:p w14:paraId="34DD8D63" w14:textId="77777777" w:rsidR="0092473A" w:rsidRDefault="0092473A" w:rsidP="0092473A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54DF686A" w14:textId="5DAB94D8" w:rsidR="0092473A" w:rsidRDefault="0092473A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15. Justificativa econômica da escolha da solução</w:t>
      </w:r>
    </w:p>
    <w:p w14:paraId="6FACE5D1" w14:textId="46D61FC3" w:rsidR="0092473A" w:rsidRPr="007B696D" w:rsidRDefault="0092473A" w:rsidP="0092473A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Descrever as razões em termos quantitativos que motivaram a escolha da solução enfatizando os aspectos de </w:t>
      </w:r>
      <w:r w:rsidR="00316B43"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economicidade</w:t>
      </w:r>
      <w:r w:rsidRPr="007B696D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 em relação às demais.</w:t>
      </w:r>
    </w:p>
    <w:p w14:paraId="45A89180" w14:textId="77777777" w:rsidR="006B24D4" w:rsidRDefault="006B24D4" w:rsidP="0092473A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0D1F5C14" w14:textId="354F7C1B" w:rsidR="006B24D4" w:rsidRDefault="006B24D4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16. Benefícios a serem alcançados com a contratação</w:t>
      </w:r>
    </w:p>
    <w:p w14:paraId="6882D82F" w14:textId="3301941B" w:rsidR="006B24D4" w:rsidRPr="00316B43" w:rsidRDefault="006B24D4" w:rsidP="0092473A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 w:rsidRPr="00316B43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Identificação dos resultados a serem alcançados com a contratação da solução de TIC. Os resultados podem ser descritos em termos de </w:t>
      </w:r>
      <w:r w:rsidR="00316B43" w:rsidRPr="00316B43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benefícios</w:t>
      </w:r>
      <w:r w:rsidRPr="00316B43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 às atividades do órgão ou entidade, </w:t>
      </w:r>
      <w:proofErr w:type="gramStart"/>
      <w:r w:rsidRPr="00316B43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à</w:t>
      </w:r>
      <w:proofErr w:type="gramEnd"/>
      <w:r w:rsidRPr="00316B43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 sociedades ou a públicos alvos relacionados à necessidade da contratação.</w:t>
      </w:r>
    </w:p>
    <w:p w14:paraId="37C1B375" w14:textId="77777777" w:rsidR="006B24D4" w:rsidRDefault="006B24D4" w:rsidP="0092473A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4D39C326" w14:textId="2B436B7A" w:rsidR="006B24D4" w:rsidRDefault="006B24D4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 xml:space="preserve">17. Providências a </w:t>
      </w:r>
      <w:proofErr w:type="gramStart"/>
      <w:r>
        <w:rPr>
          <w:rStyle w:val="ng-star-inserted"/>
          <w:rFonts w:ascii="Rawline" w:hAnsi="Rawline"/>
          <w:color w:val="333333"/>
          <w:shd w:val="clear" w:color="auto" w:fill="FFFFFF"/>
        </w:rPr>
        <w:t>serem Adotadas</w:t>
      </w:r>
      <w:proofErr w:type="gramEnd"/>
    </w:p>
    <w:p w14:paraId="7AE341B0" w14:textId="0BCB7647" w:rsidR="006B24D4" w:rsidRPr="00316B43" w:rsidRDefault="006B24D4" w:rsidP="0092473A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 w:rsidRPr="00316B43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Informar, se houver, todas as providências e as necessidades de adequação do ambiente do órgão ou entidade para viabilizar a execução contratual (alínea “e”, Inciso II, art. 11, da IN SGD/ME nº 1, de 2019).</w:t>
      </w:r>
    </w:p>
    <w:p w14:paraId="63D52740" w14:textId="77777777" w:rsidR="006B24D4" w:rsidRDefault="006B24D4" w:rsidP="0092473A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2570B2FD" w14:textId="00591B1D" w:rsidR="006B24D4" w:rsidRDefault="006B24D4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18. Declaração de Viabilidade</w:t>
      </w:r>
    </w:p>
    <w:p w14:paraId="22F335AE" w14:textId="17076BD0" w:rsidR="006B24D4" w:rsidRPr="00316B43" w:rsidRDefault="006B24D4" w:rsidP="0092473A">
      <w:pPr>
        <w:rPr>
          <w:rStyle w:val="ng-star-inserted"/>
          <w:rFonts w:ascii="Rawline" w:hAnsi="Rawline"/>
          <w:i/>
          <w:iCs/>
          <w:color w:val="A6A6A6" w:themeColor="background1" w:themeShade="A6"/>
          <w:shd w:val="clear" w:color="auto" w:fill="FFFFFF"/>
        </w:rPr>
      </w:pPr>
      <w:r w:rsidRPr="00316B43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Registrar a declaração da viabilidade da contratação, contendo a justificativa da solução escolhida, levando em consideração os estudos realizados na análise comparativa de soluções, aspectos econômicos e qualitativos, registrados ao longo do Estudo Técnico Preliminar (Inciso V, art. 11, da IN SGD/ME nº 1, de 2019).</w:t>
      </w:r>
    </w:p>
    <w:p w14:paraId="39ADCDF3" w14:textId="77777777" w:rsidR="006B24D4" w:rsidRDefault="006B24D4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</w:p>
    <w:p w14:paraId="586AFEBE" w14:textId="05FF1C62" w:rsidR="006B24D4" w:rsidRDefault="006B24D4" w:rsidP="0092473A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  <w:r>
        <w:rPr>
          <w:rFonts w:ascii="Rawline" w:hAnsi="Rawline"/>
          <w:color w:val="333333"/>
          <w:sz w:val="21"/>
          <w:szCs w:val="21"/>
          <w:shd w:val="clear" w:color="auto" w:fill="FFFFFF"/>
        </w:rPr>
        <w:t>Informe abaixo a </w:t>
      </w:r>
      <w:r>
        <w:rPr>
          <w:rFonts w:ascii="Rawline" w:hAnsi="Rawline"/>
          <w:b/>
          <w:bCs/>
          <w:color w:val="333333"/>
          <w:sz w:val="21"/>
          <w:szCs w:val="21"/>
          <w:shd w:val="clear" w:color="auto" w:fill="FFFFFF"/>
        </w:rPr>
        <w:t>viabilidade</w:t>
      </w:r>
      <w:r>
        <w:rPr>
          <w:rFonts w:ascii="Rawline" w:hAnsi="Rawline"/>
          <w:color w:val="333333"/>
          <w:sz w:val="21"/>
          <w:szCs w:val="21"/>
          <w:shd w:val="clear" w:color="auto" w:fill="FFFFFF"/>
        </w:rPr>
        <w:t> do objeto deste ETP. Caso o projeto seja inviável, é obrigatório </w:t>
      </w:r>
      <w:r>
        <w:rPr>
          <w:rFonts w:ascii="Rawline" w:hAnsi="Rawline"/>
          <w:b/>
          <w:bCs/>
          <w:color w:val="333333"/>
          <w:sz w:val="21"/>
          <w:szCs w:val="21"/>
          <w:shd w:val="clear" w:color="auto" w:fill="FFFFFF"/>
        </w:rPr>
        <w:t>informar a justificativa de inviabilidade</w:t>
      </w:r>
      <w:r>
        <w:rPr>
          <w:rFonts w:ascii="Rawline" w:hAnsi="Rawline"/>
          <w:color w:val="333333"/>
          <w:sz w:val="21"/>
          <w:szCs w:val="21"/>
          <w:shd w:val="clear" w:color="auto" w:fill="FFFFFF"/>
        </w:rPr>
        <w:t>.</w:t>
      </w:r>
    </w:p>
    <w:p w14:paraId="12A02FCF" w14:textId="06D11B67" w:rsidR="00316B43" w:rsidRDefault="00316B43" w:rsidP="0092473A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  <w:r>
        <w:rPr>
          <w:rFonts w:ascii="Rawline" w:hAnsi="Rawline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Rawline" w:hAnsi="Rawline"/>
          <w:color w:val="333333"/>
          <w:sz w:val="21"/>
          <w:szCs w:val="21"/>
          <w:shd w:val="clear" w:color="auto" w:fill="FFFFFF"/>
        </w:rPr>
        <w:t>( )</w:t>
      </w:r>
      <w:proofErr w:type="gramEnd"/>
      <w:r>
        <w:rPr>
          <w:rFonts w:ascii="Rawline" w:hAnsi="Rawline"/>
          <w:color w:val="333333"/>
          <w:sz w:val="21"/>
          <w:szCs w:val="21"/>
          <w:shd w:val="clear" w:color="auto" w:fill="FFFFFF"/>
        </w:rPr>
        <w:t xml:space="preserve"> Este equipamento de planejamento declara </w:t>
      </w:r>
      <w:r w:rsidRPr="00316B43">
        <w:rPr>
          <w:rFonts w:ascii="Rawline" w:hAnsi="Rawline"/>
          <w:b/>
          <w:bCs/>
          <w:color w:val="333333"/>
          <w:sz w:val="21"/>
          <w:szCs w:val="21"/>
          <w:shd w:val="clear" w:color="auto" w:fill="FFFFFF"/>
        </w:rPr>
        <w:t>viável</w:t>
      </w:r>
      <w:r>
        <w:rPr>
          <w:rFonts w:ascii="Rawline" w:hAnsi="Rawline"/>
          <w:color w:val="333333"/>
          <w:sz w:val="21"/>
          <w:szCs w:val="21"/>
          <w:shd w:val="clear" w:color="auto" w:fill="FFFFFF"/>
        </w:rPr>
        <w:t xml:space="preserve"> esta contratação com base neste Estudo Técnico Preliminar. </w:t>
      </w:r>
    </w:p>
    <w:p w14:paraId="11D43E64" w14:textId="56C3AA93" w:rsidR="00316B43" w:rsidRDefault="00316B43" w:rsidP="00316B43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Rawline" w:hAnsi="Rawline"/>
          <w:color w:val="333333"/>
          <w:sz w:val="21"/>
          <w:szCs w:val="21"/>
          <w:shd w:val="clear" w:color="auto" w:fill="FFFFFF"/>
        </w:rPr>
        <w:t>( )</w:t>
      </w:r>
      <w:proofErr w:type="gramEnd"/>
      <w:r>
        <w:rPr>
          <w:rFonts w:ascii="Rawline" w:hAnsi="Rawline"/>
          <w:color w:val="333333"/>
          <w:sz w:val="21"/>
          <w:szCs w:val="21"/>
          <w:shd w:val="clear" w:color="auto" w:fill="FFFFFF"/>
        </w:rPr>
        <w:t xml:space="preserve"> Este equipamento de planejamento </w:t>
      </w:r>
      <w:r w:rsidRPr="00316B43">
        <w:rPr>
          <w:rFonts w:ascii="Rawline" w:hAnsi="Rawline"/>
          <w:b/>
          <w:bCs/>
          <w:color w:val="333333"/>
          <w:sz w:val="21"/>
          <w:szCs w:val="21"/>
          <w:shd w:val="clear" w:color="auto" w:fill="FFFFFF"/>
        </w:rPr>
        <w:t>declara viável</w:t>
      </w:r>
      <w:r>
        <w:rPr>
          <w:rFonts w:ascii="Rawline" w:hAnsi="Rawline"/>
          <w:color w:val="333333"/>
          <w:sz w:val="21"/>
          <w:szCs w:val="21"/>
          <w:shd w:val="clear" w:color="auto" w:fill="FFFFFF"/>
        </w:rPr>
        <w:t xml:space="preserve"> com restrição esta contratação com base neste Estudo Técnico Preliminar. </w:t>
      </w:r>
    </w:p>
    <w:p w14:paraId="28EF02B9" w14:textId="4BA63A19" w:rsidR="00316B43" w:rsidRDefault="00316B43" w:rsidP="00316B43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Rawline" w:hAnsi="Rawline"/>
          <w:color w:val="333333"/>
          <w:sz w:val="21"/>
          <w:szCs w:val="21"/>
          <w:shd w:val="clear" w:color="auto" w:fill="FFFFFF"/>
        </w:rPr>
        <w:t>( )</w:t>
      </w:r>
      <w:proofErr w:type="gramEnd"/>
      <w:r>
        <w:rPr>
          <w:rFonts w:ascii="Rawline" w:hAnsi="Rawline"/>
          <w:color w:val="333333"/>
          <w:sz w:val="21"/>
          <w:szCs w:val="21"/>
          <w:shd w:val="clear" w:color="auto" w:fill="FFFFFF"/>
        </w:rPr>
        <w:t xml:space="preserve"> Este equipamento de planejamento declara </w:t>
      </w:r>
      <w:r w:rsidRPr="00316B43">
        <w:rPr>
          <w:rFonts w:ascii="Rawline" w:hAnsi="Rawline"/>
          <w:b/>
          <w:bCs/>
          <w:color w:val="333333"/>
          <w:sz w:val="21"/>
          <w:szCs w:val="21"/>
          <w:shd w:val="clear" w:color="auto" w:fill="FFFFFF"/>
        </w:rPr>
        <w:t>inviável</w:t>
      </w:r>
      <w:r>
        <w:rPr>
          <w:rFonts w:ascii="Rawline" w:hAnsi="Rawline"/>
          <w:color w:val="333333"/>
          <w:sz w:val="21"/>
          <w:szCs w:val="21"/>
          <w:shd w:val="clear" w:color="auto" w:fill="FFFFFF"/>
        </w:rPr>
        <w:t xml:space="preserve">  esta contratação com base neste Estudo Técnico Preliminar. </w:t>
      </w:r>
    </w:p>
    <w:p w14:paraId="64FC8BFE" w14:textId="77777777" w:rsidR="00915730" w:rsidRDefault="00915730" w:rsidP="00316B43">
      <w:pPr>
        <w:rPr>
          <w:rFonts w:ascii="Rawline" w:hAnsi="Rawline"/>
          <w:color w:val="333333"/>
          <w:sz w:val="21"/>
          <w:szCs w:val="21"/>
          <w:shd w:val="clear" w:color="auto" w:fill="FFFFFF"/>
        </w:rPr>
      </w:pPr>
    </w:p>
    <w:p w14:paraId="028C91A7" w14:textId="2A237446" w:rsidR="00915730" w:rsidRDefault="00915730" w:rsidP="00316B43">
      <w:pPr>
        <w:rPr>
          <w:rStyle w:val="ng-star-inserted"/>
          <w:rFonts w:ascii="Rawline" w:hAnsi="Rawline"/>
          <w:color w:val="333333"/>
          <w:shd w:val="clear" w:color="auto" w:fill="FFFFFF"/>
        </w:rPr>
      </w:pPr>
      <w:r>
        <w:rPr>
          <w:rStyle w:val="ng-star-inserted"/>
          <w:rFonts w:ascii="Rawline" w:hAnsi="Rawline"/>
          <w:color w:val="333333"/>
          <w:shd w:val="clear" w:color="auto" w:fill="FFFFFF"/>
        </w:rPr>
        <w:t>19. Responsáveis</w:t>
      </w:r>
      <w:r w:rsidR="00865D37">
        <w:rPr>
          <w:rStyle w:val="ng-star-inserted"/>
          <w:rFonts w:ascii="Rawline" w:hAnsi="Rawline"/>
          <w:color w:val="333333"/>
          <w:shd w:val="clear" w:color="auto" w:fill="FFFFFF"/>
        </w:rPr>
        <w:t xml:space="preserve"> (no mínimo dois) </w:t>
      </w:r>
    </w:p>
    <w:p w14:paraId="6582506F" w14:textId="56683C9D" w:rsidR="00915730" w:rsidRDefault="00915730" w:rsidP="00316B43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 w:rsidRPr="00915730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Identificação dos integrantes técnicos, requisitantes e da autoridade máxima da área de TIC.</w:t>
      </w:r>
    </w:p>
    <w:p w14:paraId="6E5F8CC7" w14:textId="096EE51F" w:rsidR="001B0194" w:rsidRDefault="001B0194" w:rsidP="00316B43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Dados: </w:t>
      </w:r>
    </w:p>
    <w:p w14:paraId="70F56BB4" w14:textId="2BE43F5D" w:rsidR="004D7334" w:rsidRDefault="001B0194" w:rsidP="00316B43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CPF: </w:t>
      </w:r>
    </w:p>
    <w:p w14:paraId="275DD5AD" w14:textId="3F26D1EB" w:rsidR="001B0194" w:rsidRDefault="001B0194" w:rsidP="00316B43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Nome:</w:t>
      </w:r>
    </w:p>
    <w:p w14:paraId="7E69ECB8" w14:textId="77777777" w:rsidR="0016585A" w:rsidRDefault="001B0194" w:rsidP="00316B43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Cargo</w:t>
      </w:r>
      <w:r w:rsidR="0016585A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:</w:t>
      </w:r>
    </w:p>
    <w:p w14:paraId="4D2294E8" w14:textId="0A1C0B99" w:rsidR="001B0194" w:rsidRDefault="0016585A" w:rsidP="00316B43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F</w:t>
      </w:r>
      <w:r w:rsidR="001B0194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unção:</w:t>
      </w:r>
    </w:p>
    <w:p w14:paraId="7734F158" w14:textId="28A1EFC1" w:rsidR="00513BAC" w:rsidRDefault="00513BAC" w:rsidP="00316B43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E-mail:</w:t>
      </w:r>
    </w:p>
    <w:p w14:paraId="70D723BF" w14:textId="04A310C8" w:rsidR="001B0194" w:rsidRDefault="001B0194" w:rsidP="00316B43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  <w: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>Despacho:</w:t>
      </w:r>
      <w:r w:rsidR="0016585A"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  <w:t xml:space="preserve"> caso seja necessário </w:t>
      </w:r>
    </w:p>
    <w:p w14:paraId="55C97041" w14:textId="77777777" w:rsidR="001B0194" w:rsidRPr="00915730" w:rsidRDefault="001B0194" w:rsidP="00316B43">
      <w:pPr>
        <w:rPr>
          <w:rFonts w:ascii="Rawline" w:hAnsi="Rawline"/>
          <w:i/>
          <w:iCs/>
          <w:color w:val="A6A6A6" w:themeColor="background1" w:themeShade="A6"/>
          <w:sz w:val="21"/>
          <w:szCs w:val="21"/>
          <w:shd w:val="clear" w:color="auto" w:fill="FFFFFF"/>
        </w:rPr>
      </w:pPr>
    </w:p>
    <w:p w14:paraId="537A31C5" w14:textId="77777777" w:rsidR="00316B43" w:rsidRDefault="00316B43" w:rsidP="0092473A">
      <w:pPr>
        <w:rPr>
          <w:rStyle w:val="ng-star-inserted"/>
          <w:rFonts w:ascii="Rawline" w:hAnsi="Rawline"/>
          <w:color w:val="333333"/>
          <w:shd w:val="clear" w:color="auto" w:fill="FFFFFF"/>
        </w:rPr>
      </w:pPr>
    </w:p>
    <w:sectPr w:rsidR="00316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wl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5253"/>
    <w:multiLevelType w:val="hybridMultilevel"/>
    <w:tmpl w:val="E2DE1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1CF9"/>
    <w:multiLevelType w:val="multilevel"/>
    <w:tmpl w:val="424A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558117">
    <w:abstractNumId w:val="1"/>
  </w:num>
  <w:num w:numId="2" w16cid:durableId="3145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A"/>
    <w:rsid w:val="0016585A"/>
    <w:rsid w:val="001B0194"/>
    <w:rsid w:val="00316B43"/>
    <w:rsid w:val="004D7334"/>
    <w:rsid w:val="00513BAC"/>
    <w:rsid w:val="006126E2"/>
    <w:rsid w:val="006B24D4"/>
    <w:rsid w:val="007B696D"/>
    <w:rsid w:val="00865D37"/>
    <w:rsid w:val="00883975"/>
    <w:rsid w:val="00915730"/>
    <w:rsid w:val="0092473A"/>
    <w:rsid w:val="00937796"/>
    <w:rsid w:val="00C77900"/>
    <w:rsid w:val="00D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D341"/>
  <w15:chartTrackingRefBased/>
  <w15:docId w15:val="{56CD1CED-5D00-4A87-A6B3-8B85390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g-star-inserted">
    <w:name w:val="ng-star-inserted"/>
    <w:basedOn w:val="Fontepargpadro"/>
    <w:rsid w:val="0092473A"/>
  </w:style>
  <w:style w:type="paragraph" w:customStyle="1" w:styleId="h6">
    <w:name w:val="h6"/>
    <w:basedOn w:val="Normal"/>
    <w:rsid w:val="0092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r-only">
    <w:name w:val="sr-only"/>
    <w:basedOn w:val="Fontepargpadro"/>
    <w:rsid w:val="0092473A"/>
  </w:style>
  <w:style w:type="paragraph" w:styleId="NormalWeb">
    <w:name w:val="Normal (Web)"/>
    <w:basedOn w:val="Normal"/>
    <w:uiPriority w:val="99"/>
    <w:semiHidden/>
    <w:unhideWhenUsed/>
    <w:rsid w:val="006B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1324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Elane Lyra da Silva</dc:creator>
  <cp:keywords/>
  <dc:description/>
  <cp:lastModifiedBy>Elane Lyra da Silva</cp:lastModifiedBy>
  <cp:revision>6</cp:revision>
  <dcterms:created xsi:type="dcterms:W3CDTF">2023-05-17T19:54:00Z</dcterms:created>
  <dcterms:modified xsi:type="dcterms:W3CDTF">2023-06-01T12:30:00Z</dcterms:modified>
</cp:coreProperties>
</file>