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lsfkv26q0dok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234.0" w:type="dxa"/>
        <w:jc w:val="left"/>
        <w:tblInd w:w="-70.0" w:type="dxa"/>
        <w:tblLayout w:type="fixed"/>
        <w:tblLook w:val="0000"/>
      </w:tblPr>
      <w:tblGrid>
        <w:gridCol w:w="3655"/>
        <w:gridCol w:w="5579"/>
        <w:tblGridChange w:id="0">
          <w:tblGrid>
            <w:gridCol w:w="3655"/>
            <w:gridCol w:w="557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Edital: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Edital Pibiti 2026/2027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ind w:right="-66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Área do Conhecimento (CNPq):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Subárea do Conhecimento (CNPq):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bookmarkStart w:colFirst="0" w:colLast="0" w:name="_heading=h.sr4s5s3kuqhe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140.866141732284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617.74399004131"/>
        <w:gridCol w:w="2761.561075845487"/>
        <w:gridCol w:w="2761.561075845487"/>
        <w:tblGridChange w:id="0">
          <w:tblGrid>
            <w:gridCol w:w="3617.74399004131"/>
            <w:gridCol w:w="2761.561075845487"/>
            <w:gridCol w:w="2761.561075845487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Estudante apresenta alguma necessidade de acessibilidade?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 (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 (   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sim, informar o recurso ou suporte de acessibilidade que necessita.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Orientações Gerais (remover na versão final)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240" w:lineRule="auto"/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Este documento deve ser utilizado como modelo para elaboração do subprojeto de iniciação em desenvolvimento tecnológico e de inovação.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subprojeto deve ser enviado pelo(a) proponente via Sistema Acadêmico de Pesquisa (SAPPG), conforme as normas e o cronograma do edital Pibiti 2026/2027.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subprojeto deve conter as seções: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Resumo; Introdução; Objetivos; Metodologia; Plano de Trabalho/Cronograma; Referências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Formatação mínima obrigatória: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Tamanho A4; margens: 3 cm (superior e esquerda) e 2 cm (inferior e direita)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Fonte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corpo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no texto 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nos títulos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Espaçamento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1,5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entre linhas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Alinhamento justificado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Sem recuo na primeira linha dos parágrafos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Cabeçalho em Arial 10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Inserir, na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quarta linha do cabeçalho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área do conhecimento conforme classificação do CNPq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documento não deve exceder 15 páginas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documento deve ser exportado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Resumo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uma breve contextualização do trabalho proposto contendo as justificativas, os objetivos, a metodologia e os resultados esperados. O resumo deve ser composto de uma sequência de frases concisas, afirmativas (e não de enumeração de tópicos), em um parágrafo único. Devem-se evitar símbolos e contrações que não sejam de uso corrente, bem como fórmulas, equações, diagramas e etc. Quanto à sua extensão, o resumo deve ter de 150 a 300 palavras.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palavras-chave devem figurar logo abaixo do resumo, antecedidas da expressão “Palavras-chave:”, separadas entre si por ponto e finalizadas também por ponto. Podem ser informadas, no máximo, 06 (seis) palavras-chave.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Caracterização e Justificativa do Desenvolvimento Tecnológico e da Inovação Proposta 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seção, o(a) autor(a) deve apresentar a relevância do projeto para o desenvolvimento tecnológico e inovação da proposta, relacionando sua justificativa e seu referencial teórico com a </w:t>
      </w: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u w:val="single"/>
            <w:rtl w:val="0"/>
          </w:rPr>
          <w:t xml:space="preserve">Lei 10.973 de dezembro de 2004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(Lei de Inovação).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Lei de Inovação, a definição de desenvolvimento tecnológico se relaciona  com o processo de criação/invenção “que acarrete ou possa acarretar o surgimento de um novo produto ou aperfeiçoamento incremental, obtida por um ou mais criadores”.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 inovação, a referida lei define como “introdução de novidade ou aperfeiçoamento no ambiente produtivo ou social que resulte em novos produtos, processos ou serviços ou processos ou que compreenda a agregação de novas funcionalidades ou características a produto, serviço ou processo já existente que possa resultar em melhorias e em efetivo ganho de qualidade ou desempenho”.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de observar as definições expressas na Lei de Inovação, o(a) autor deve também ressaltar a ligação do subprojeto com o projeto de pesquisa ao qual está vinculado.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Ufes, a </w:t>
      </w: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u w:val="single"/>
            <w:rtl w:val="0"/>
          </w:rPr>
          <w:t xml:space="preserve">Resolução Nº 147/2025 - CUn/Ufes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institui a Política de Inovação da Universidade no âmbito do Marco Legal da Ciência, Tecnologia e Inovação (MLCTI). Este documento também pode auxiliar os pesquisadores quanto às definições a serem adotadas neste subprojeto.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todo o documento, ilustrações (figuras, gráficos, fotos, fluxogramas, quadros e etc.) e tabelas podem também ser incluídas, em caráter complementar e opcional, a fim de contextualizar o tema de estudo.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ilustrações e tabelas devem ser inseridas imediatamente após o trecho ao qual fazem referência. Estes elementos devem estar centralizados na página, com identificação na parte superior, em fonte Arial 10. Na parte inferior, deve constar a indicação da fonte consultada (elemento obrigatório, mesmo que seja “produção do próprio autor”), legenda, notas e/ou outras informações necessárias à compreensão (se houver). O texto da parte inferior também deve ser formatado em fonte Arial 10, alinhado à borda esquerda da ilustração e limitado pela borda direita da mesma, como mostra a Figura 1 e o Gráfico 1.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100" w:line="240" w:lineRule="auto"/>
        <w:ind w:left="720" w:right="609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Figura 1 – (a) Fotografia do modelo de edificação utilizado no experimento e (b) representação esquemática do comportamento do escoamento sobre a edificação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202180" cy="1480185"/>
            <wp:effectExtent b="0" l="0" r="0" t="0"/>
            <wp:docPr descr="Fotografia de um modelo reduzido de edificação usado em experimento. " id="1" name="image1.png"/>
            <a:graphic>
              <a:graphicData uri="http://schemas.openxmlformats.org/drawingml/2006/picture">
                <pic:pic>
                  <pic:nvPicPr>
                    <pic:cNvPr descr="Fotografia de um modelo reduzido de edificação usado em experimento. " id="0" name="image1.png"/>
                    <pic:cNvPicPr preferRelativeResize="0"/>
                  </pic:nvPicPr>
                  <pic:blipFill>
                    <a:blip r:embed="rId9"/>
                    <a:srcRect b="5071" l="804" r="52164" t="3508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480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205990" cy="1454150"/>
            <wp:effectExtent b="0" l="0" r="0" t="0"/>
            <wp:docPr descr="A imagem mostra uma representação esquemática do comportamento do escoamento sobre a edificação." id="3" name="image1.png"/>
            <a:graphic>
              <a:graphicData uri="http://schemas.openxmlformats.org/drawingml/2006/picture">
                <pic:pic>
                  <pic:nvPicPr>
                    <pic:cNvPr descr="A imagem mostra uma representação esquemática do comportamento do escoamento sobre a edificação." id="0" name="image1.png"/>
                    <pic:cNvPicPr preferRelativeResize="0"/>
                  </pic:nvPicPr>
                  <pic:blipFill>
                    <a:blip r:embed="rId9"/>
                    <a:srcRect b="5071" l="51195" r="2290" t="3508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45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</w:t>
        <w:tab/>
        <w:tab/>
        <w:tab/>
        <w:t xml:space="preserve">              </w:t>
        <w:tab/>
        <w:tab/>
        <w:t xml:space="preserve">               (b)</w:t>
      </w:r>
    </w:p>
    <w:p w:rsidR="00000000" w:rsidDel="00000000" w:rsidP="00000000" w:rsidRDefault="00000000" w:rsidRPr="00000000" w14:paraId="0000003E">
      <w:pPr>
        <w:spacing w:before="100" w:line="240" w:lineRule="auto"/>
        <w:ind w:left="72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Toledo e Pereira (2004).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Figura 1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 modelo reduzido de edificação e representação esquemática do comportamento do escoamento sobre a edificação.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figuras e tabelas, sugere-se a inserção de um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alternativo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é uma breve descrição textual que permite a pessoas com deficiência visual, que utilizam softwares leitores de tela, compreendam o conteúdo visual do relatório.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Orientações para a redação do texto alternativo: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Seja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Comece pela informação mais importante. Evite expressões como "Imagem de..." ou "Foto de...", pois o leitor de tela já identifica o elemento como gráfico.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Hierarquia de Dados: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gráficos, descreva primeiro o tipo (ex: "Gráfico de barras"), o título e os valores de maior destaque ou tendência geral.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Contexto Científico: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apenas o que é relevante para a pesquisa. Se uma cor no gráfico indica uma variável específica, mencione-a; se for apenas decorativa, não é necessário descrevê-la.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Tabelas: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Certifique-se de que a descrição resuma a principal conclusão que os dados da tabela apresentam.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line="240" w:lineRule="auto"/>
        <w:ind w:left="1080" w:right="1239" w:firstLine="0"/>
        <w:jc w:val="left"/>
        <w:rPr>
          <w:rFonts w:ascii="Arial" w:cs="Arial" w:eastAsia="Arial" w:hAnsi="Arial"/>
        </w:rPr>
      </w:pPr>
      <w:bookmarkStart w:colFirst="0" w:colLast="0" w:name="_heading=h.7rs492dugdcm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Gráfico 1 – Consumo final de energia por fonte no Brasil em 2011</w:t>
      </w:r>
    </w:p>
    <w:p w:rsidR="00000000" w:rsidDel="00000000" w:rsidP="00000000" w:rsidRDefault="00000000" w:rsidRPr="00000000" w14:paraId="0000004B">
      <w:pPr>
        <w:spacing w:line="240" w:lineRule="auto"/>
        <w:ind w:left="1080" w:right="879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3912885" cy="2389688"/>
            <wp:effectExtent b="0" l="0" r="0" t="0"/>
            <wp:docPr descr="Gráfico de pizza exibindo o consumo final por fonte no Brasil em 2011. O gráfico utiliza diversas cores para distinguir doze categorias de fontes energéticas. As fatias representam, em percentual decrescente,  de consumo final de diferentes fontes como: óleo diesel, eletricidade, outras fontes, bagaço de cana, gasolina, gás natural, lenha, etanol, GLP, lixívia, óleo combustível e querosene. O óleo diesel se destaca com 19,1%. A categoria óleo diesel inclui biodiesel, a categoria gasolina inclui apenas gasolina A e a categoria outras fontes inclui gás de refinaria, coque de carvão mineral e carvão vegetal, dentre outros." id="2" name="image3.png"/>
            <a:graphic>
              <a:graphicData uri="http://schemas.openxmlformats.org/drawingml/2006/picture">
                <pic:pic>
                  <pic:nvPicPr>
                    <pic:cNvPr descr="Gráfico de pizza exibindo o consumo final por fonte no Brasil em 2011. O gráfico utiliza diversas cores para distinguir doze categorias de fontes energéticas. As fatias representam, em percentual decrescente,  de consumo final de diferentes fontes como: óleo diesel, eletricidade, outras fontes, bagaço de cana, gasolina, gás natural, lenha, etanol, GLP, lixívia, óleo combustível e querosene. O óleo diesel se destaca com 19,1%. A categoria óleo diesel inclui biodiesel, a categoria gasolina inclui apenas gasolina A e a categoria outras fontes inclui gás de refinaria, coque de carvão mineral e carvão vegetal, dentre outros.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2885" cy="2389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620"/>
        </w:tabs>
        <w:spacing w:before="100" w:line="240" w:lineRule="auto"/>
        <w:ind w:left="1620" w:hanging="54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</w:t>
        <w:tab/>
        <w:t xml:space="preserve">Empresa de Pesquisa Energética (2012).</w:t>
      </w:r>
    </w:p>
    <w:p w:rsidR="00000000" w:rsidDel="00000000" w:rsidP="00000000" w:rsidRDefault="00000000" w:rsidRPr="00000000" w14:paraId="0000004D">
      <w:pPr>
        <w:tabs>
          <w:tab w:val="left" w:leader="none" w:pos="1620"/>
        </w:tabs>
        <w:spacing w:line="240" w:lineRule="auto"/>
        <w:ind w:left="1620" w:right="1419" w:hanging="54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 </w:t>
        <w:tab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biodiesel.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apenas gasolina A (automotiva).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gás de refinaria, coque de carvão mineral e carvão vegetal, dentre outros.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do Gráfico 1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gráfico de setores (estilo pizza) com efeito 3D, intitulado "Consumo final de energia por fonte no Brasil em 2011". O gráfico utiliza diversas cores para distinguir doze categorias de fontes energéticas</w:t>
      </w:r>
      <w:r w:rsidDel="00000000" w:rsidR="00000000" w:rsidRPr="00000000">
        <w:rPr>
          <w:rFonts w:ascii="Roboto" w:cs="Roboto" w:eastAsia="Roboto" w:hAnsi="Roboto"/>
          <w:color w:val="444746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maior fonte de consumo é o óleo diesel, com 19,1%.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tabelas e os quadros, apesar de possuírem certa semelhança entre si, diferenciam-se não apenas no formato exigido, mas também pelo conteúdo que exibem: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quadro apresenta informações ou resultados qualitativos, ou seja, em forma de texto, mesmo que este empregue números;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tabela apresenta informações ou resultados quantitativos, ou seja, números tratados estatisticamente.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Quanto ao formato e à apresentação de tabelas e quadros, como se verifica na Tabela 1 e no Quadro 1, devem-se observar as seguintes regras: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moldura das tabelas não deve ser fechada com traços verticais à esquerda e à direita;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evitar o uso de traços verticais para separar as colunas e de traços horizontais para separar as linhas de uma tabela;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quadro é um elemento fechado, portanto, deve conter traços horizontais e verticais para separar suas linhas e colunas, além de traços horizontais e verticais para delimitar sua moldura.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Tabela 1 – Exemplo de formatação de uma tabela para a apresentação de resultados</w:t>
      </w:r>
    </w:p>
    <w:sdt>
      <w:sdtPr>
        <w:lock w:val="contentLocked"/>
        <w:id w:val="-645602730"/>
        <w:tag w:val="goog_rdk_0"/>
      </w:sdtPr>
      <w:sdtContent>
        <w:tbl>
          <w:tblPr>
            <w:tblStyle w:val="Table3"/>
            <w:tblW w:w="8985.0" w:type="dxa"/>
            <w:jc w:val="center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3060"/>
            <w:gridCol w:w="3270"/>
            <w:gridCol w:w="2655"/>
            <w:tblGridChange w:id="0">
              <w:tblGrid>
                <w:gridCol w:w="3060"/>
                <w:gridCol w:w="3270"/>
                <w:gridCol w:w="2655"/>
              </w:tblGrid>
            </w:tblGridChange>
          </w:tblGrid>
          <w:tr>
            <w:trPr>
              <w:cantSplit w:val="1"/>
              <w:trHeight w:val="424.98046875" w:hRule="atLeast"/>
              <w:tblHeader w:val="0"/>
            </w:trPr>
            <w:tc>
              <w:tcPr>
                <w:tcBorders>
                  <w:top w:color="ffffff" w:space="0" w:sz="12" w:val="single"/>
                  <w:left w:color="ffffff" w:space="0" w:sz="12" w:val="single"/>
                  <w:bottom w:color="666666" w:space="0" w:sz="12" w:val="single"/>
                  <w:right w:color="ffffff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Grupo de idade (em meses)</w:t>
                </w:r>
              </w:p>
            </w:tc>
            <w:tc>
              <w:tcPr>
                <w:tcBorders>
                  <w:top w:color="ffffff" w:space="0" w:sz="12" w:val="single"/>
                  <w:left w:color="ffffff" w:space="0" w:sz="12" w:val="single"/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Número de indivíduos no grupo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Indivíduos viáveis [%]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666666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0-10</w:t>
                </w:r>
              </w:p>
            </w:tc>
            <w:tc>
              <w:tcPr>
                <w:tcBorders>
                  <w:top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9,0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10-15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15-20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Acima de 20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3,4</w:t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before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Produção do(a) próprio(a) autor(a).</w:t>
      </w:r>
    </w:p>
    <w:p w:rsidR="00000000" w:rsidDel="00000000" w:rsidP="00000000" w:rsidRDefault="00000000" w:rsidRPr="00000000" w14:paraId="0000006C">
      <w:pPr>
        <w:spacing w:before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Tabela 1: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tabela com bordas horizontais simples no topo e na base, com dados ilustrativos para demonstrar as normas de apresentação de dados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100" w:line="240" w:lineRule="auto"/>
        <w:ind w:left="1526" w:firstLine="0"/>
        <w:jc w:val="left"/>
        <w:rPr>
          <w:rFonts w:ascii="Arial" w:cs="Arial" w:eastAsia="Arial" w:hAnsi="Arial"/>
        </w:rPr>
      </w:pPr>
      <w:bookmarkStart w:colFirst="0" w:colLast="0" w:name="_heading=h.do13dvhmic12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Quadro 1 – Dimensionamento dos elementos de um conversor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boost</w:t>
      </w:r>
      <w:r w:rsidDel="00000000" w:rsidR="00000000" w:rsidRPr="00000000">
        <w:rPr>
          <w:rtl w:val="0"/>
        </w:rPr>
      </w:r>
    </w:p>
    <w:sdt>
      <w:sdtPr>
        <w:lock w:val="contentLocked"/>
        <w:id w:val="1419862976"/>
        <w:tag w:val="goog_rdk_1"/>
      </w:sdtPr>
      <w:sdtContent>
        <w:tbl>
          <w:tblPr>
            <w:tblStyle w:val="Table4"/>
            <w:tblW w:w="5934.0" w:type="dxa"/>
            <w:jc w:val="center"/>
            <w:tblLayout w:type="fixed"/>
            <w:tblLook w:val="0400"/>
          </w:tblPr>
          <w:tblGrid>
            <w:gridCol w:w="3054"/>
            <w:gridCol w:w="2880"/>
            <w:tblGridChange w:id="0">
              <w:tblGrid>
                <w:gridCol w:w="3054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Elemento ou Grandeza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Valor ou Modelo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Tensão de entrada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48 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Tensão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200 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Potência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200 W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Frequência de comutação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50 kHz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Indutor de entrada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880 µH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Capacitor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 µF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Diodo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FES8HT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Interruptor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IRFP360</w:t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spacing w:before="100" w:line="240" w:lineRule="auto"/>
        <w:ind w:left="153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Menegáz (1997).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do Quadro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o quadro apresenta duas colunas e nove linhas com bordas pretas visíveis em todas as divisões,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 dados ilustrativos para demonstrar as normas de apresentação de dados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k820l5l02cx9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Outros elementos textuais que podem fazer parte do subprojeto de pesquisa são as equações e fórmulas. Para facilitar a leitura, recomenda-se que as equações sejam destacadas do texto e numeradas com algarismos arábicos entre parênteses, alinhados à margem direita da página, como mostra a equação (1). Assim como no caso de figuras, tabelas e quadros, a citação, ou a chamada, de todas as equações ou fórmulas no texto é obrigatória, e sua localização deve acontecer o mais próximo possível do trecho onde são mencionadas pela primeira vez.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1vu8phx4meac" w:id="5"/>
      <w:bookmarkEnd w:id="5"/>
      <w:r w:rsidDel="00000000" w:rsidR="00000000" w:rsidRPr="00000000">
        <w:rPr>
          <w:rtl w:val="0"/>
        </w:rPr>
      </w:r>
    </w:p>
    <w:sdt>
      <w:sdtPr>
        <w:lock w:val="contentLocked"/>
        <w:id w:val="1254125368"/>
        <w:tag w:val="goog_rdk_2"/>
      </w:sdtPr>
      <w:sdtContent>
        <w:tbl>
          <w:tblPr>
            <w:tblStyle w:val="Table5"/>
            <w:tblW w:w="9089.0" w:type="dxa"/>
            <w:jc w:val="center"/>
            <w:tblLayout w:type="fixed"/>
            <w:tblLook w:val="0400"/>
          </w:tblPr>
          <w:tblGrid>
            <w:gridCol w:w="8063"/>
            <w:gridCol w:w="1026"/>
            <w:tblGridChange w:id="0">
              <w:tblGrid>
                <w:gridCol w:w="8063"/>
                <w:gridCol w:w="1026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</w:rPr>
                  <w:drawing>
                    <wp:inline distB="0" distT="0" distL="0" distR="0">
                      <wp:extent cx="885825" cy="190500"/>
                      <wp:effectExtent b="0" l="0" r="0" t="0"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582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-101"/>
                  <w:jc w:val="righ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(1)</w:t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Equação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equação matemática centralizada, identificada pelo número 1 entre parênteses à direita. A fórmula descreve uma relação ilustrativa para demonstrar as normas de apresentação dos dados.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Objetivos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conter, de forma concisa, o objetivo geral e os objetivos específicos do subprojeto. Os objetivos devem se relacionar com as hipóteses a serem demonstradas, os dispositivos a serem montados, os compostos a serem sintetizados e as ideias a serem corroboradas ou refutadas. 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apresentar, com base na revisão bibliográfica ou em trabalhos preliminares, a metodologia que deverá ser adotada para testar a hipótese formulada e atingir os objetivos estabelecidos. Devem ser apresentados os procedimentos de trabalho, o material que deverá ser utilizado, o tratamento da informação e o tratamento estatístico, se for o caso. Esta seção deve, portanto, detalhar os aspectos da metodologia a ser empregada nas atividades especificamente a serem executadas pelo(a) estudante e apresentar sua relação com o projeto de pesquisa ao qual o subprojeto está vinculado.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Plano de Trabalho / Cronograma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explicitar as atividades que serão desenvolvidas pelo estudante (Quadro 2) e seu cronograma de execução (Quadro 3) para que os objetivos do subprojeto possam ser alcançados, especificando período de início e término.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As atividades não devem ser apenas listadas, sendo necessário apresentar uma breve descrição de sua relevância para 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ubprojeto proposto e a forma de execução.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cronograma de trabalho de pesquisa deverá organizar a sequência das atividades planejadas.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recomendado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prever, para o mês de fevereiro, a elaboração, pelo estudante, do relatório parcial da pesquisa, e para o mês de agosto, a elaboração do relatório final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100"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Quadro 2 – Lista de atividades previstas do Subprojeto</w:t>
      </w: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[Nome da atividade]: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before="10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[Insira quantas linhas for necessário, respeitando o limite de páginas do documento]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100"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Quadro 3 – Cronograma de atividades previstas do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ubprojeto (set./20__ a ago./20__)</w:t>
      </w:r>
      <w:r w:rsidDel="00000000" w:rsidR="00000000" w:rsidRPr="00000000">
        <w:rPr>
          <w:rtl w:val="0"/>
        </w:rPr>
      </w:r>
    </w:p>
    <w:tbl>
      <w:tblPr>
        <w:tblStyle w:val="Table7"/>
        <w:tblW w:w="9044.999999999998" w:type="dxa"/>
        <w:jc w:val="center"/>
        <w:tblLayout w:type="fixed"/>
        <w:tblLook w:val="0000"/>
      </w:tblPr>
      <w:tblGrid>
        <w:gridCol w:w="1508"/>
        <w:gridCol w:w="679"/>
        <w:gridCol w:w="649"/>
        <w:gridCol w:w="650"/>
        <w:gridCol w:w="669"/>
        <w:gridCol w:w="583"/>
        <w:gridCol w:w="609"/>
        <w:gridCol w:w="623"/>
        <w:gridCol w:w="609"/>
        <w:gridCol w:w="638"/>
        <w:gridCol w:w="612"/>
        <w:gridCol w:w="608"/>
        <w:gridCol w:w="608"/>
        <w:tblGridChange w:id="0">
          <w:tblGrid>
            <w:gridCol w:w="1508"/>
            <w:gridCol w:w="679"/>
            <w:gridCol w:w="649"/>
            <w:gridCol w:w="650"/>
            <w:gridCol w:w="669"/>
            <w:gridCol w:w="583"/>
            <w:gridCol w:w="609"/>
            <w:gridCol w:w="623"/>
            <w:gridCol w:w="609"/>
            <w:gridCol w:w="638"/>
            <w:gridCol w:w="612"/>
            <w:gridCol w:w="608"/>
            <w:gridCol w:w="608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ago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[In</w:t>
      </w:r>
      <w:r w:rsidDel="00000000" w:rsidR="00000000" w:rsidRPr="00000000">
        <w:rPr>
          <w:rFonts w:ascii="Arial" w:cs="Arial" w:eastAsia="Arial" w:hAnsi="Arial"/>
          <w:rtl w:val="0"/>
        </w:rPr>
        <w:t xml:space="preserve">sira quantas linhas for necessário, respeitando o limite de páginas do documento]</w:t>
      </w:r>
    </w:p>
    <w:p w:rsidR="00000000" w:rsidDel="00000000" w:rsidP="00000000" w:rsidRDefault="00000000" w:rsidRPr="00000000" w14:paraId="000000D4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descrever as fontes consultadas durante esta primeira etapa de desenvolvimento do subprojeto, seguindo a norma técnica pertinente, a saber a NBR 6023:2025. Deve conter apenas as obras citadas no texto, ou seja, “não liste se não citar” e “não cite se não listar”. A lista das referências bibliográficas deve estar em ordem alfabética. A </w:t>
      </w:r>
      <w:hyperlink r:id="rId12">
        <w:r w:rsidDel="00000000" w:rsidR="00000000" w:rsidRPr="00000000">
          <w:rPr>
            <w:rFonts w:ascii="Arial" w:cs="Arial" w:eastAsia="Arial" w:hAnsi="Arial"/>
            <w:color w:val="1a0dab"/>
            <w:sz w:val="24"/>
            <w:szCs w:val="24"/>
            <w:highlight w:val="white"/>
            <w:u w:val="single"/>
            <w:rtl w:val="0"/>
          </w:rPr>
          <w:t xml:space="preserve">Biblioteca Central da Ufes (BC-Ufes)</w:t>
        </w:r>
      </w:hyperlink>
      <w:r w:rsidDel="00000000" w:rsidR="00000000" w:rsidRPr="00000000">
        <w:rPr>
          <w:rFonts w:ascii="Arial" w:cs="Arial" w:eastAsia="Arial" w:hAnsi="Arial"/>
          <w:color w:val="0a0a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 a aplicação da nova ABNT NBR 6023:2025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3.8582677165355" w:top="1700.7874015748032" w:left="1700.7874015748032" w:right="1133.8582677165355" w:header="1701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Universidade Federal do Espírito Santo </w:t>
    </w:r>
  </w:p>
  <w:p w:rsidR="00000000" w:rsidDel="00000000" w:rsidP="00000000" w:rsidRDefault="00000000" w:rsidRPr="00000000" w14:paraId="000000DA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Subprojeto de Iniciação Tecnológica e Inovação</w:t>
    </w:r>
  </w:p>
  <w:p w:rsidR="00000000" w:rsidDel="00000000" w:rsidP="00000000" w:rsidRDefault="00000000" w:rsidRPr="00000000" w14:paraId="000000DB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Edital 04/2026 - Pibiti 2026/2027</w:t>
    </w:r>
  </w:p>
  <w:p w:rsidR="00000000" w:rsidDel="00000000" w:rsidP="00000000" w:rsidRDefault="00000000" w:rsidRPr="00000000" w14:paraId="000000DC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  <w:color w:val="ff0000"/>
      </w:rPr>
    </w:pPr>
    <w:r w:rsidDel="00000000" w:rsidR="00000000" w:rsidRPr="00000000">
      <w:rPr>
        <w:rFonts w:ascii="Arial" w:cs="Arial" w:eastAsia="Arial" w:hAnsi="Arial"/>
        <w:color w:val="ff0000"/>
        <w:rtl w:val="0"/>
      </w:rPr>
      <w:t xml:space="preserve">Área do Conhecimento (CNPq)</w:t>
    </w:r>
  </w:p>
  <w:p w:rsidR="00000000" w:rsidDel="00000000" w:rsidP="00000000" w:rsidRDefault="00000000" w:rsidRPr="00000000" w14:paraId="000000DD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0" w:line="240" w:lineRule="auto"/>
      <w:ind w:left="720" w:hanging="360"/>
      <w:jc w:val="lef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yperlink" Target="https://biblioteca.ufes.br/normalizaca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nalto.gov.br/ccivil_03/_ato2004-2006/2004/lei/l10.973.htm" TargetMode="External"/><Relationship Id="rId8" Type="http://schemas.openxmlformats.org/officeDocument/2006/relationships/hyperlink" Target="https://daocs.ufes.br/sites/daocs.ufes.br/files/field/anexo/resolucao_no_147.2025_-_politica_de_inovacao_da_universidade_federal_do_espirito_santo_uf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usUDt7Wqkvk9o8dwqYAtNj8+A==">CgMxLjAaHwoBMBIaChgICVIUChJ0YWJsZS54Y2xmeWJ5MTFsYzMaHwoBMRIaChgICVIUChJ0YWJsZS5hNHlhNjQ3NjhjNzIaHwoBMhIaChgICVIUChJ0YWJsZS55NGdtaDVvNjFlOW4yDmgubHNma3YyNnEwZG9rMg5oLnNyNHM1czNrdXFoZTIOaC43cnM0OTJkdWdkY20yDmguZG8xM2R2aG1pYzEyMg5oLms4MjBsNWwwMmN4OTIOaC4xdnU4cGh4NG1lYWM4AHIhMVJuZVRDVUNuT1VRYzAzQkpET3hQUkZzZ3pFS3JQZX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